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200"/>
        <w:jc w:val="center"/>
      </w:pPr>
      <w:r>
        <w:drawing>
          <wp:inline distT="0" distB="0" distL="0" distR="0">
            <wp:extent cx="2857500" cy="1552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0" cy="1552575"/>
                    </a:xfrm>
                    <a:prstGeom prst="rect">
                      <a:avLst/>
                    </a:prstGeom>
                  </pic:spPr>
                </pic:pic>
              </a:graphicData>
            </a:graphic>
          </wp:inline>
        </w:drawing>
      </w:r>
    </w:p>
    <w:p>
      <w:pPr>
        <w:spacing w:after="100" w:before="200"/>
        <w:jc w:val="center"/>
      </w:pPr>
      <w:r>
        <w:rPr>
          <w:rFonts w:ascii="Arial" w:cs="Arial" w:eastAsia="Arial" w:hAnsi="Arial"/>
          <w:b/>
          <w:bCs/>
          <w:color w:val="16243E"/>
          <w:sz w:val="40"/>
          <w:szCs w:val="40"/>
        </w:rPr>
        <w:t xml:space="preserve">GEORGIA REAL ESTATE PRELICENSE</w:t>
      </w:r>
    </w:p>
    <w:p>
      <w:pPr>
        <w:spacing w:after="300"/>
        <w:jc w:val="center"/>
      </w:pPr>
      <w:r>
        <w:rPr>
          <w:rFonts w:ascii="Arial" w:cs="Arial" w:eastAsia="Arial" w:hAnsi="Arial"/>
          <w:b/>
          <w:bCs/>
          <w:color w:val="E5431F"/>
          <w:sz w:val="40"/>
          <w:szCs w:val="40"/>
        </w:rPr>
        <w:t xml:space="preserve">PRACTICE EXAM — ANSWER KEY</w:t>
      </w:r>
    </w:p>
    <w:p>
      <w:pPr>
        <w:spacing w:after="500"/>
        <w:jc w:val="center"/>
      </w:pPr>
      <w:r>
        <w:rPr>
          <w:rFonts w:ascii="Arial" w:cs="Arial" w:eastAsia="Arial" w:hAnsi="Arial"/>
          <w:color w:val="16243E"/>
          <w:sz w:val="26"/>
          <w:szCs w:val="26"/>
        </w:rPr>
        <w:t xml:space="preserve">125 Questions · Correct Answers with Full Explanations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shd w:fill="FBF7EC" w:val="clear"/>
            <w:tcMar>
              <w:top w:type="dxa" w:w="200"/>
              <w:left w:type="dxa" w:w="300"/>
              <w:bottom w:type="dxa" w:w="200"/>
              <w:right w:type="dxa" w:w="300"/>
            </w:tcMar>
          </w:tcPr>
          <w:p>
            <w:r>
              <w:rPr>
                <w:rFonts w:ascii="Arial" w:cs="Arial" w:eastAsia="Arial" w:hAnsi="Arial"/>
                <w:i/>
                <w:iCs/>
                <w:color w:val="4A5164"/>
                <w:sz w:val="18"/>
                <w:szCs w:val="18"/>
              </w:rPr>
              <w:t xml:space="preserve">Real Estate Resources Academy, Inc. is an independent exam-preparation resource and this material, while verified against Georgia statutes and other reliable sources, is not endorsed by, or sponsored by the Georgia Real Estate Commission (GREC) or any licensing authority. Content is provided for study purposes only, is not legal advice, and does not guarantee exam success. Verify current rules at grec.state.ga.us. © Real Estate Resources Academy, Inc. All rights reserved.</w:t>
            </w:r>
          </w:p>
        </w:tc>
      </w:tr>
    </w:tbl>
    <w:p>
      <w:pPr>
        <w:spacing w:before="500"/>
        <w:jc w:val="center"/>
      </w:pPr>
      <w:r>
        <w:rPr>
          <w:rFonts w:ascii="Arial" w:cs="Arial" w:eastAsia="Arial" w:hAnsi="Arial"/>
          <w:color w:val="16243E"/>
          <w:sz w:val="20"/>
          <w:szCs w:val="20"/>
        </w:rPr>
        <w:t xml:space="preserve">678.318.7949   |   info@reracademy.com   |   www.RERAcademy.com</w:t>
      </w:r>
    </w:p>
    <w:p>
      <w:r>
        <w:br w:type="page"/>
      </w:r>
    </w:p>
    <w:p>
      <w:pPr>
        <w:sectPr>
          <w:footerReference w:type="default" r:id="rId7"/>
          <w:pgSz w:w="12240" w:h="15840" w:orient="portrait"/>
          <w:pgMar w:top="1000" w:right="1200" w:bottom="1000" w:left="1200" w:header="708" w:footer="708" w:gutter="0"/>
          <w:pgNumType/>
          <w:docGrid w:linePitch="360"/>
        </w:sectPr>
      </w:pPr>
    </w:p>
    <w:p>
      <w:pPr>
        <w:pStyle w:val="Heading1"/>
        <w:pBdr>
          <w:bottom w:val="single" w:color="E5431F" w:sz="12" w:space="4"/>
        </w:pBdr>
        <w:spacing w:after="200" w:before="400"/>
      </w:pPr>
      <w:r>
        <w:rPr>
          <w:rFonts w:ascii="Arial" w:cs="Arial" w:eastAsia="Arial" w:hAnsi="Arial"/>
          <w:b/>
          <w:bCs/>
          <w:color w:val="16243E"/>
          <w:sz w:val="28"/>
          <w:szCs w:val="28"/>
        </w:rPr>
        <w:t xml:space="preserve">Contracts  (Questions 1–12)</w:t>
      </w:r>
    </w:p>
    <w:p>
      <w:pPr>
        <w:spacing w:after="80" w:before="220"/>
      </w:pPr>
      <w:r>
        <w:rPr>
          <w:rFonts w:ascii="Arial" w:cs="Arial" w:eastAsia="Arial" w:hAnsi="Arial"/>
          <w:b/>
          <w:bCs/>
          <w:color w:val="E5431F"/>
          <w:sz w:val="22"/>
          <w:szCs w:val="22"/>
        </w:rPr>
        <w:t xml:space="preserve">Q1.  </w:t>
      </w:r>
      <w:r>
        <w:rPr>
          <w:rFonts w:ascii="Arial" w:cs="Arial" w:eastAsia="Arial" w:hAnsi="Arial"/>
          <w:b/>
          <w:bCs/>
          <w:color w:val="16243E"/>
          <w:sz w:val="22"/>
          <w:szCs w:val="22"/>
        </w:rPr>
        <w:t xml:space="preserve">Which combination of elements MUST be present for a real estate sales contract to be legally valid and enforceable?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 notarized signature and a property survey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A licensed broker's signature, earnest money, and a closing date</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Offer and acceptance, consideration, competent parties, legal purpose, and mutual assent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An attorney's review and a title insurance commitment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 contract is only valid and enforceable when it contains all of the essential elements: an offer and its acceptance, consideration exchanged between the parties, parties who are legally competent to contract, a legal purpose, and mutual assent (a true "meeting of the minds"). Missing any one of these renders the agreement void, voidable, or unenforceable, regardless of how well the paperwork is otherwise completed. Option B lists items that are common in practice but are not legal requirements for contract validity itself — many valid contracts have no earnest money at all. Options A and D describe good practices (notarization, attorney review, title work) that protect the parties but are not among the legally required elements of contract formation.</w:t>
      </w:r>
    </w:p>
    <w:p>
      <w:pPr>
        <w:spacing w:after="80" w:before="220"/>
      </w:pPr>
      <w:r>
        <w:rPr>
          <w:rFonts w:ascii="Arial" w:cs="Arial" w:eastAsia="Arial" w:hAnsi="Arial"/>
          <w:b/>
          <w:bCs/>
          <w:color w:val="E5431F"/>
          <w:sz w:val="22"/>
          <w:szCs w:val="22"/>
        </w:rPr>
        <w:t xml:space="preserve">Q2.  </w:t>
      </w:r>
      <w:r>
        <w:rPr>
          <w:rFonts w:ascii="Arial" w:cs="Arial" w:eastAsia="Arial" w:hAnsi="Arial"/>
          <w:b/>
          <w:bCs/>
          <w:color w:val="16243E"/>
          <w:sz w:val="22"/>
          <w:szCs w:val="22"/>
        </w:rPr>
        <w:t xml:space="preserve">Under Georgia's Statute of Frauds, which of the following real estate agreements generally must be in writing to be enforceable?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 verbal agreement between neighbors to informally split lawn maintenance costs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A buyer's casual statement of interest made during an open house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 broker's internal marketing plan for a listed home</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A contract for the sale of real property</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The Statute of Frauds requires that contracts for the sale of real property be in writing and signed by the party to be bound in order to be enforceable in court, because real estate transactions involve significant value and long-term legal consequences that the law wants clearly documented. This applies broadly to real estate sales contracts, most leases longer than one year, and listing agreements, which is why oral "handshake deals" to buy or sell property are not enforceable in Georgia. Option A involves a personal arrangement, not a real property sale, so it falls outside the statute's real estate provisions. Options C and B are not contracts for the conveyance of an interest in land — an internal marketing plan is a business document and a casual verbal expression of interest lacks the definiteness and mutual assent needed to be a contract in the first place.</w:t>
      </w:r>
    </w:p>
    <w:p>
      <w:pPr>
        <w:spacing w:after="80" w:before="220"/>
      </w:pPr>
      <w:r>
        <w:rPr>
          <w:rFonts w:ascii="Arial" w:cs="Arial" w:eastAsia="Arial" w:hAnsi="Arial"/>
          <w:b/>
          <w:bCs/>
          <w:color w:val="E5431F"/>
          <w:sz w:val="22"/>
          <w:szCs w:val="22"/>
        </w:rPr>
        <w:t xml:space="preserve">Q3.  </w:t>
      </w:r>
      <w:r>
        <w:rPr>
          <w:rFonts w:ascii="Arial" w:cs="Arial" w:eastAsia="Arial" w:hAnsi="Arial"/>
          <w:b/>
          <w:bCs/>
          <w:color w:val="16243E"/>
          <w:sz w:val="22"/>
          <w:szCs w:val="22"/>
        </w:rPr>
        <w:t xml:space="preserve">In an open listing agreement, how does the seller's obligation to pay commission differ from an exclusive listing arrangement?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The seller owes no commission at all under any circumstance</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The seller only owes a commission to the specific broker who actually procures the buyer, and owes nothing if the seller sells the property personally</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The seller must pay a commission to every broker who shows the property, regardless of who sells it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seller must split the commission equally among all brokers who marketed the home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An open listing allows a seller to list with multiple brokers simultaneously, but the seller only owes a commission to whichever broker actually produces a ready, willing, and able buyer — and if the seller finds their own buyer without any broker's help, no commission is owed to anyone. This is the key feature that distinguishes an open listing from an exclusive right to sell, where the listing broker earns a commission no matter who sells the property, including the seller. Option C is incorrect because merely showing the property does not entitle a broker to a commission under an open listing; procuring cause matters. Options A and D misstate how commissions work — a commission can be owed, but only to the procuring broker, and it is not divided among brokers who did not produce the buyer.</w:t>
      </w:r>
    </w:p>
    <w:p>
      <w:pPr>
        <w:spacing w:after="80" w:before="220"/>
      </w:pPr>
      <w:r>
        <w:rPr>
          <w:rFonts w:ascii="Arial" w:cs="Arial" w:eastAsia="Arial" w:hAnsi="Arial"/>
          <w:b/>
          <w:bCs/>
          <w:color w:val="E5431F"/>
          <w:sz w:val="22"/>
          <w:szCs w:val="22"/>
        </w:rPr>
        <w:t xml:space="preserve">Q4.  </w:t>
      </w:r>
      <w:r>
        <w:rPr>
          <w:rFonts w:ascii="Arial" w:cs="Arial" w:eastAsia="Arial" w:hAnsi="Arial"/>
          <w:b/>
          <w:bCs/>
          <w:color w:val="16243E"/>
          <w:sz w:val="22"/>
          <w:szCs w:val="22"/>
        </w:rPr>
        <w:t xml:space="preserve">A seller signs a listing agreement stating the broker will earn a commission if the property sells during the listing period, no matter who finds the buyer — including if the seller finds the buyer independently. What type of listing is this?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Net listing</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Exclusive agency listing</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Open listing</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Exclusive right to sell listing</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An exclusive right to sell listing gives the listing broker a commission upon sale of the property during the listing term regardless of who actually procures the buyer, even if the seller sells it themselves — this is the broadest protection for the broker and the most common type of listing used in practice. This differs from an exclusive agency listing, where the broker still has the sole right to market the property but the seller retains the right to sell it personally without owing a commission. Option C, an open listing, allows multiple brokers and pays only the procuring broker, so it does not match the facts described. Option A, a net listing, is a compensation structure (broker keeps anything above a set seller proceeds amount) rather than a description of exclusivity, and net listings are generally discouraged or restricted due to the potential for abuse.</w:t>
      </w:r>
    </w:p>
    <w:p>
      <w:pPr>
        <w:spacing w:after="80" w:before="220"/>
      </w:pPr>
      <w:r>
        <w:rPr>
          <w:rFonts w:ascii="Arial" w:cs="Arial" w:eastAsia="Arial" w:hAnsi="Arial"/>
          <w:b/>
          <w:bCs/>
          <w:color w:val="E5431F"/>
          <w:sz w:val="22"/>
          <w:szCs w:val="22"/>
        </w:rPr>
        <w:t xml:space="preserve">Q5.  </w:t>
      </w:r>
      <w:r>
        <w:rPr>
          <w:rFonts w:ascii="Arial" w:cs="Arial" w:eastAsia="Arial" w:hAnsi="Arial"/>
          <w:b/>
          <w:bCs/>
          <w:color w:val="16243E"/>
          <w:sz w:val="22"/>
          <w:szCs w:val="22"/>
        </w:rPr>
        <w:t xml:space="preserve">What is the primary legal purpose of a buyer brokerage agreement?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It obligates the seller to pay the buyer's broker directly</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It creates an agency relationship establishing the broker's duties and obligations to represent the buyer</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It guarantees the buyer will qualify for financing</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It transfers title of the property to the buyer upon signing</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 buyer brokerage agreement is a contract between a buyer and a broker that establishes an agency relationship, spelling out the broker's fiduciary duties to the buyer, the scope of representation, the term of the agreement, and how the broker will be compensated. This is important in Georgia practice because without a written agreement, a buyer's status with a broker can be ambiguous, and clear agency relationships help avoid confusion and potential license law violations. Option C is incorrect because no agreement can guarantee loan qualification, which depends on the buyer's financial situation and lender underwriting. Options D and A confuse the buyer brokerage agreement with the sales contract and commission arrangements in the listing agreement — a buyer agency agreement does not convey title, and compensation terms depend on what is negotiated, not an automatic seller obligation.</w:t>
      </w:r>
    </w:p>
    <w:p>
      <w:pPr>
        <w:spacing w:after="80" w:before="220"/>
      </w:pPr>
      <w:r>
        <w:rPr>
          <w:rFonts w:ascii="Arial" w:cs="Arial" w:eastAsia="Arial" w:hAnsi="Arial"/>
          <w:b/>
          <w:bCs/>
          <w:color w:val="E5431F"/>
          <w:sz w:val="22"/>
          <w:szCs w:val="22"/>
        </w:rPr>
        <w:t xml:space="preserve">Q6.  </w:t>
      </w:r>
      <w:r>
        <w:rPr>
          <w:rFonts w:ascii="Arial" w:cs="Arial" w:eastAsia="Arial" w:hAnsi="Arial"/>
          <w:b/>
          <w:bCs/>
          <w:color w:val="16243E"/>
          <w:sz w:val="22"/>
          <w:szCs w:val="22"/>
        </w:rPr>
        <w:t xml:space="preserve">A purchase and sale agreement includes a financing contingency. What does this clause typically allow the buyer to do?</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Withdraw from the contract and typically recover their earnest money if they cannot obtain the specified loan within the agreed time frame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Demand the seller reduce the purchase price if rates increase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Extend the closing date indefinitely without notifying the seller</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Cancel the contract and forfeit the earnest money if any contingency exists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A financing contingency protects the buyer by making the contract conditional on the buyer's ability to obtain a loan with specified terms within a set period; if financing falls through despite the buyer's good-faith efforts, the buyer can typically terminate the contract and have their earnest money returned. This is a standard risk-shifting tool in Georgia purchase agreements because it prevents a buyer from being forced to either complete an all-cash purchase or lose their deposit due to circumstances largely outside their control. Option D is wrong because contingencies are designed to protect the buyer's earnest money, not automatically forfeit it. Options C and B overstate the buyer's rights — a financing contingency does not permit indefinite delay or unilateral price renegotiation; it only allows termination under the specific conditions written into the clause.</w:t>
      </w:r>
    </w:p>
    <w:p>
      <w:pPr>
        <w:spacing w:after="80" w:before="220"/>
      </w:pPr>
      <w:r>
        <w:rPr>
          <w:rFonts w:ascii="Arial" w:cs="Arial" w:eastAsia="Arial" w:hAnsi="Arial"/>
          <w:b/>
          <w:bCs/>
          <w:color w:val="E5431F"/>
          <w:sz w:val="22"/>
          <w:szCs w:val="22"/>
        </w:rPr>
        <w:t xml:space="preserve">Q7.  </w:t>
      </w:r>
      <w:r>
        <w:rPr>
          <w:rFonts w:ascii="Arial" w:cs="Arial" w:eastAsia="Arial" w:hAnsi="Arial"/>
          <w:b/>
          <w:bCs/>
          <w:color w:val="16243E"/>
          <w:sz w:val="22"/>
          <w:szCs w:val="22"/>
        </w:rPr>
        <w:t xml:space="preserve">A sales contract contains an appraisal contingency and the property appraises below the agreed purchase price. What is the most accurate description of the parties' options?</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The buyer can typically renegotiate the price, cover the gap in cash, or terminate under the contingency, while the seller may agree, counter, or refuse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seller must reduce the price to the appraised value or face a lawsuit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The lender will automatically adjust the sales price to match the appraisal</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sale is automatically void and both parties must start over with a new contract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An appraisal contingency gives the buyer options when the appraised value comes in below the contract price: the buyer may ask the seller to lower the price, offer to make up the difference in cash since most lenders will only loan based on the lower of price or appraised value, or terminate the contract and recover earnest money if the parties cannot reach agreement. The seller is not obligated to accept a lower price and can choose to hold firm, negotiate a middle ground, or let the contract fall through, which is why this is a negotiation point rather than an automatic outcome. Option D is incorrect because a low appraisal does not void the contract by itself, only the contingency clause governs what happens next. Options C and B are inaccurate because neither the lender nor the seller is legally forced to unilaterally change the price — that requires mutual agreement, consistent with basic contract principles.</w:t>
      </w:r>
    </w:p>
    <w:p>
      <w:pPr>
        <w:spacing w:after="80" w:before="220"/>
      </w:pPr>
      <w:r>
        <w:rPr>
          <w:rFonts w:ascii="Arial" w:cs="Arial" w:eastAsia="Arial" w:hAnsi="Arial"/>
          <w:b/>
          <w:bCs/>
          <w:color w:val="E5431F"/>
          <w:sz w:val="22"/>
          <w:szCs w:val="22"/>
        </w:rPr>
        <w:t xml:space="preserve">Q8.  </w:t>
      </w:r>
      <w:r>
        <w:rPr>
          <w:rFonts w:ascii="Arial" w:cs="Arial" w:eastAsia="Arial" w:hAnsi="Arial"/>
          <w:b/>
          <w:bCs/>
          <w:color w:val="16243E"/>
          <w:sz w:val="22"/>
          <w:szCs w:val="22"/>
        </w:rPr>
        <w:t xml:space="preserve">During the inspection contingency period, a buyer discovers significant defects in the home's foundation. What is the buyer's typical contractual recourse under a standard inspection contingency?</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The buyer automatically loses their earnest money if any defect is found</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buyer has no right to negotiate and must accept the seller's original terms</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The buyer may request repairs or credits, or terminate the contract within the inspection period, generally with earnest money returned per the contract terms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buyer must close on the property as-is and pursue damages only after the sale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An inspection contingency gives the buyer a defined window of time to have the property professionally inspected and, if problems are found, to negotiate repairs or a credit with the seller, or to terminate the contract altogether — typically with the earnest money refunded, provided the buyer acts within the contingency's stated deadline and procedures. This protects buyers from unknowingly purchasing a property with costly hidden defects while still giving sellers the chance to respond to reasonable repair requests. Option D is incorrect because the whole purpose of the contingency is to give the buyer leverage and an exit option before closing, not after. Options A and B misstate how contingencies function; finding a defect does not automatically forfeit earnest money, and the buyer retains real negotiating rights during the inspection period as defined in the contract.</w:t>
      </w:r>
    </w:p>
    <w:p>
      <w:pPr>
        <w:spacing w:after="80" w:before="220"/>
      </w:pPr>
      <w:r>
        <w:rPr>
          <w:rFonts w:ascii="Arial" w:cs="Arial" w:eastAsia="Arial" w:hAnsi="Arial"/>
          <w:b/>
          <w:bCs/>
          <w:color w:val="E5431F"/>
          <w:sz w:val="22"/>
          <w:szCs w:val="22"/>
        </w:rPr>
        <w:t xml:space="preserve">Q9.  </w:t>
      </w:r>
      <w:r>
        <w:rPr>
          <w:rFonts w:ascii="Arial" w:cs="Arial" w:eastAsia="Arial" w:hAnsi="Arial"/>
          <w:b/>
          <w:bCs/>
          <w:color w:val="16243E"/>
          <w:sz w:val="22"/>
          <w:szCs w:val="22"/>
        </w:rPr>
        <w:t xml:space="preserve">In a typical Georgia residential purchase agreement, what is the primary purpose of earnest money?</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To satisfy the Statute of Frauds writing requirement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To pay the listing broker's commission upfront</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To demonstrate the buyer's good faith and serious intent to complete the purchase, serving as a deposit applied toward the purchase price or damages if the buyer defaults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To cover the cost of the buyer's loan origination fees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Earnest money is a good-faith deposit a buyer puts down when submitting an offer to show they are serious about completing the transaction; it is typically held in a broker's trust account and applied toward the purchase price at closing, or, if the buyer defaults without a valid contractual excuse, it may be forfeited to the seller as agreed damages. This deposit gives the seller some assurance and compensation for taking the property off the market while the contract is pending. Option B is incorrect because earnest money is not automatically the broker's commission — commission is a separate compensation arrangement determined by the listing agreement. Options D and A misunderstand the concept entirely: earnest money has nothing to do with loan fees, and it is not what satisfies the Statute of Frauds, which requires the contract itself, not a deposit, to be in writing.</w:t>
      </w:r>
    </w:p>
    <w:p>
      <w:pPr>
        <w:spacing w:after="80" w:before="220"/>
      </w:pPr>
      <w:r>
        <w:rPr>
          <w:rFonts w:ascii="Arial" w:cs="Arial" w:eastAsia="Arial" w:hAnsi="Arial"/>
          <w:b/>
          <w:bCs/>
          <w:color w:val="E5431F"/>
          <w:sz w:val="22"/>
          <w:szCs w:val="22"/>
        </w:rPr>
        <w:t xml:space="preserve">Q10.  </w:t>
      </w:r>
      <w:r>
        <w:rPr>
          <w:rFonts w:ascii="Arial" w:cs="Arial" w:eastAsia="Arial" w:hAnsi="Arial"/>
          <w:b/>
          <w:bCs/>
          <w:color w:val="16243E"/>
          <w:sz w:val="22"/>
          <w:szCs w:val="22"/>
        </w:rPr>
        <w:t xml:space="preserve">How does an option contract differ from a right of first refusal in a real estate context?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An option contract requires the owner to find a buyer for the holder</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An option contract gives the holder the right, but not the obligation, to purchase at agreed terms within a set period, while a right of first refusal only gives the holder the chance to match a third-party offer if the owner decides to sell</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 right of first refusal obligates the owner to sell within 30 days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They are legally identical and used interchangeably</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An option contract is a binding agreement, usually supported by option money as consideration, that gives the option holder the exclusive right to buy (or sometimes lease) a property on specified terms within a defined time period, without obligating the holder to actually go through with the purchase. A right of first refusal, by contrast, does not give the holder an independent right to force a sale at any time; it only activates if and when the owner decides to sell, at which point the holder has the opportunity to match a bona fide third-party offer before the owner sells to someone else. Option D is incorrect because these are distinct legal tools with different triggering mechanisms and owner obligations. Options C and A misstate the mechanics — a right of first refusal does not impose a sale deadline on the owner, and an option contract does not require the owner to actively find a buyer; it simply requires the owner to honor the option if the holder chooses to exercise it.</w:t>
      </w:r>
    </w:p>
    <w:p>
      <w:pPr>
        <w:spacing w:after="80" w:before="220"/>
      </w:pPr>
      <w:r>
        <w:rPr>
          <w:rFonts w:ascii="Arial" w:cs="Arial" w:eastAsia="Arial" w:hAnsi="Arial"/>
          <w:b/>
          <w:bCs/>
          <w:color w:val="E5431F"/>
          <w:sz w:val="22"/>
          <w:szCs w:val="22"/>
        </w:rPr>
        <w:t xml:space="preserve">Q11.  </w:t>
      </w:r>
      <w:r>
        <w:rPr>
          <w:rFonts w:ascii="Arial" w:cs="Arial" w:eastAsia="Arial" w:hAnsi="Arial"/>
          <w:b/>
          <w:bCs/>
          <w:color w:val="16243E"/>
          <w:sz w:val="22"/>
          <w:szCs w:val="22"/>
        </w:rPr>
        <w:t xml:space="preserve">A buyer breaches a real estate sales contract without legal justification, and the seller wants the court to compel the buyer to complete the purchase exactly as agreed rather than merely awarding money damages. Which remedy is the seller seeking?</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Rescission</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Specific performance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Liquidated damages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Novation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Specific performance is an equitable remedy in which a court orders the breaching party to actually carry out their contractual obligations — in real estate, this is often available to sellers or buyers because real property is considered legally unique, so money damages alone may not adequately compensate the non-breaching party. This remedy is particularly relevant in real estate contract disputes precisely because no two parcels of land are identical, making substitute performance elsewhere an inadequate fix. Option A, rescission, is the opposite outcome — it cancels the contract and returns the parties to their pre-contract positions, rather than forcing completion. Options D and C are unrelated remedies for breach: novation replaces one party or obligation with a new agreement by mutual consent, and liquidated damages refers to a pre-agreed dollar amount (often the earnest money) paid in lieu of performance, not a court order to complete the sale.</w:t>
      </w:r>
    </w:p>
    <w:p>
      <w:pPr>
        <w:spacing w:after="80" w:before="220"/>
      </w:pPr>
      <w:r>
        <w:rPr>
          <w:rFonts w:ascii="Arial" w:cs="Arial" w:eastAsia="Arial" w:hAnsi="Arial"/>
          <w:b/>
          <w:bCs/>
          <w:color w:val="E5431F"/>
          <w:sz w:val="22"/>
          <w:szCs w:val="22"/>
        </w:rPr>
        <w:t xml:space="preserve">Q12.  </w:t>
      </w:r>
      <w:r>
        <w:rPr>
          <w:rFonts w:ascii="Arial" w:cs="Arial" w:eastAsia="Arial" w:hAnsi="Arial"/>
          <w:b/>
          <w:bCs/>
          <w:color w:val="16243E"/>
          <w:sz w:val="22"/>
          <w:szCs w:val="22"/>
        </w:rPr>
        <w:t xml:space="preserve">A seller receives a buyer's written offer and responds by changing the closing date and lowering the requested earnest money amount before signing. What is the legal effect of the seller's response?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It has no legal effect and the original offer remains open for the buyer to accept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It converts the original offer into an option contract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It automatically binds the buyer to the new terms without further action</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It operates as a counteroffer that rejects and terminates the original offer, requiring the buyer's new acceptance to form a contract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Under basic contract law principles applied in Georgia real estate practice, any material change to the terms of an offer — such as a different closing date or a reduced earnest money amount — legally constitutes a counteroffer, which simultaneously rejects and terminates the original offer. Because mutual assent requires the parties to agree to identical terms, the ball is now in the original offeror's (buyer's) court, and no contract exists until the buyer accepts the counteroffer exactly as presented, possibly by countering again. Option C is incorrect because a counteroffer never automatically binds anyone; it must be accepted to form a contract. Option A is wrong because the original offer is legally dead once a counteroffer is made — the buyer cannot simply go back and accept the original terms unless the seller revives them. Option B confuses concepts; a counteroffer is not an option contract, which is a separate, distinct instrument requiring its own consideration and terms.</w:t>
      </w:r>
    </w:p>
    <w:p>
      <w:pPr>
        <w:pStyle w:val="Heading1"/>
        <w:pBdr>
          <w:bottom w:val="single" w:color="E5431F" w:sz="12" w:space="4"/>
        </w:pBdr>
        <w:spacing w:after="200" w:before="400"/>
      </w:pPr>
      <w:r>
        <w:rPr>
          <w:rFonts w:ascii="Arial" w:cs="Arial" w:eastAsia="Arial" w:hAnsi="Arial"/>
          <w:b/>
          <w:bCs/>
          <w:color w:val="16243E"/>
          <w:sz w:val="28"/>
          <w:szCs w:val="28"/>
        </w:rPr>
        <w:t xml:space="preserve">Agency &amp; Brokerage Relationships  (Questions 13–24)</w:t>
      </w:r>
    </w:p>
    <w:p>
      <w:pPr>
        <w:spacing w:after="80" w:before="220"/>
      </w:pPr>
      <w:r>
        <w:rPr>
          <w:rFonts w:ascii="Arial" w:cs="Arial" w:eastAsia="Arial" w:hAnsi="Arial"/>
          <w:b/>
          <w:bCs/>
          <w:color w:val="E5431F"/>
          <w:sz w:val="22"/>
          <w:szCs w:val="22"/>
        </w:rPr>
        <w:t xml:space="preserve">Q13.  </w:t>
      </w:r>
      <w:r>
        <w:rPr>
          <w:rFonts w:ascii="Arial" w:cs="Arial" w:eastAsia="Arial" w:hAnsi="Arial"/>
          <w:b/>
          <w:bCs/>
          <w:color w:val="16243E"/>
          <w:sz w:val="22"/>
          <w:szCs w:val="22"/>
        </w:rPr>
        <w:t xml:space="preserve">A property owner calls a broker and says, "I want you to sell my house, and I agree to your listing terms," and the broker begins marketing the property based on that phone conversation, with a written listing agreement to follow later that week. What type of agency relationship has most likely been created at the moment of that phone call?</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No agency relationship exists until a written contract is signed</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An express agency relationship, created orally by the mutual agreement of the parties</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An implied agency relationship based solely on the broker's conduct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 subagency relationship between the broker and the seller</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Agency can be created expressly through either an oral or a written agreement between the parties, as long as there is a clear mutual understanding that the broker will act on the principal's behalf; a signed writing is best practice and is required for the broker to enforce a commission claim, but it is not what creates the agency relationship itself. Choice A is wrong because it confuses enforceability of a commission with the existence of agency. Choice C is wrong because implied agency arises from the parties' conduct and circumstances rather than from an actual verbal agreement like the one described here. Choice D is wrong because subagency involves a second broker working on behalf of the listing broker's client, which is not what this scenario describes at all.</w:t>
      </w:r>
    </w:p>
    <w:p>
      <w:pPr>
        <w:spacing w:after="80" w:before="220"/>
      </w:pPr>
      <w:r>
        <w:rPr>
          <w:rFonts w:ascii="Arial" w:cs="Arial" w:eastAsia="Arial" w:hAnsi="Arial"/>
          <w:b/>
          <w:bCs/>
          <w:color w:val="E5431F"/>
          <w:sz w:val="22"/>
          <w:szCs w:val="22"/>
        </w:rPr>
        <w:t xml:space="preserve">Q14.  </w:t>
      </w:r>
      <w:r>
        <w:rPr>
          <w:rFonts w:ascii="Arial" w:cs="Arial" w:eastAsia="Arial" w:hAnsi="Arial"/>
          <w:b/>
          <w:bCs/>
          <w:color w:val="16243E"/>
          <w:sz w:val="22"/>
          <w:szCs w:val="22"/>
        </w:rPr>
        <w:t xml:space="preserve">A licensee has entered into a listing agreement with a seller and represents only the seller in the transaction. Under general agency principles, which duty does this seller's agent owe EXCLUSIVELY to the seller and NOT to a buyer who is a customer in the same transaction?</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Loyalty to the seller's interests above the licensee's own interests or those of any other party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Honesty in all communications with the buyer</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Fair dealing with the buyer throughout the transaction</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Disclosure of known material defects in the property to the buyer</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Loyalty is a fiduciary duty owed only to the licensee's actual client, meaning the seller's agent must put the seller's interests first and never subordinate them to the buyer's or the licensee's own; a customer, by contrast, is owed only the more limited, non-fiduciary duties of honesty, fair dealing, and disclosure of known material facts. Choices B, C, and D are incorrect because those duties extend to any party in the transaction, including customers who are not represented, so they are not exclusive to the client. This distinction is central to Georgia's BRRETA framework, which separates fiduciary duties owed to clients from the baseline duties owed to all parties in a real estate transaction.</w:t>
      </w:r>
    </w:p>
    <w:p>
      <w:pPr>
        <w:spacing w:after="80" w:before="220"/>
      </w:pPr>
      <w:r>
        <w:rPr>
          <w:rFonts w:ascii="Arial" w:cs="Arial" w:eastAsia="Arial" w:hAnsi="Arial"/>
          <w:b/>
          <w:bCs/>
          <w:color w:val="E5431F"/>
          <w:sz w:val="22"/>
          <w:szCs w:val="22"/>
        </w:rPr>
        <w:t xml:space="preserve">Q15.  </w:t>
      </w:r>
      <w:r>
        <w:rPr>
          <w:rFonts w:ascii="Arial" w:cs="Arial" w:eastAsia="Arial" w:hAnsi="Arial"/>
          <w:b/>
          <w:bCs/>
          <w:color w:val="16243E"/>
          <w:sz w:val="22"/>
          <w:szCs w:val="22"/>
        </w:rPr>
        <w:t xml:space="preserve">A licensee enters into a written buyer brokerage agreement and begins showing homes to a prospective purchaser, negotiating price and terms exclusively on that buyer's behalf. This licensee is best described as which of the following?</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 dual agent representing both the buyer and the seller</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A buyer's agent, owing fiduciary duties to the buyer as the client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 subagent of the listing broker</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 transaction broker with no fiduciary duties to anyone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When a licensee signs a buyer brokerage agreement and works exclusively to advance that buyer's interests, negotiating on the buyer's behalf, the licensee becomes the buyer's agent and owes the buyer the same fiduciary duties a seller's agent would owe a seller, including loyalty, confidentiality, and reasonable care. Choice C is wrong because a subagent works for the listing broker's client (the seller), not the buyer. Choice D describes a relationship not used under Georgia's designated agency model as presented here, and choice A is incorrect because nothing in the facts indicates the same licensee is also representing the seller.</w:t>
      </w:r>
    </w:p>
    <w:p>
      <w:pPr>
        <w:spacing w:after="80" w:before="220"/>
      </w:pPr>
      <w:r>
        <w:rPr>
          <w:rFonts w:ascii="Arial" w:cs="Arial" w:eastAsia="Arial" w:hAnsi="Arial"/>
          <w:b/>
          <w:bCs/>
          <w:color w:val="E5431F"/>
          <w:sz w:val="22"/>
          <w:szCs w:val="22"/>
        </w:rPr>
        <w:t xml:space="preserve">Q16.  </w:t>
      </w:r>
      <w:r>
        <w:rPr>
          <w:rFonts w:ascii="Arial" w:cs="Arial" w:eastAsia="Arial" w:hAnsi="Arial"/>
          <w:b/>
          <w:bCs/>
          <w:color w:val="16243E"/>
          <w:sz w:val="22"/>
          <w:szCs w:val="22"/>
        </w:rPr>
        <w:t xml:space="preserve">Two affiliated licensees work for the same brokerage firm. The broker designates one licensee to represent the seller and a different licensee within the same firm to represent the buyer in the same transaction, with each designated agent working solely for their respective client. Under Georgia's Brokerage Relationships in Real Estate Transactions Act (BRRETA), what best describes this arrangement?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This is prohibited because it creates an unavoidable conflict of interest</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This is designated agency, allowing each licensee to represent only their own client despite the common broker</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This is dual agency, and it requires the same informed consent as one agent representing both parties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This is subagency, since both licensees work under the same broker</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BRRETA specifically authorizes designated agency, under which a broker may appoint different affiliated licensees within the same firm to represent the seller and the buyer separately, and each designated agent then owes full fiduciary duties only to their own client rather than to both parties. This arrangement is a recognized and commonly used alternative to dual agency precisely because it avoids one individual having to split loyalty between opposing clients. Choice C is incorrect because designated agency is treated differently from dual agency under Georgia law even though the two designated agents share the same broker, and choice D is wrong because subagency describes an entirely different relationship where a second broker works on behalf of the listing side. Choice A is incorrect because BRRETA expressly permits this practice, subject to proper broker policies and disclosure.</w:t>
      </w:r>
    </w:p>
    <w:p>
      <w:pPr>
        <w:spacing w:after="80" w:before="220"/>
      </w:pPr>
      <w:r>
        <w:rPr>
          <w:rFonts w:ascii="Arial" w:cs="Arial" w:eastAsia="Arial" w:hAnsi="Arial"/>
          <w:b/>
          <w:bCs/>
          <w:color w:val="E5431F"/>
          <w:sz w:val="22"/>
          <w:szCs w:val="22"/>
        </w:rPr>
        <w:t xml:space="preserve">Q17.  </w:t>
      </w:r>
      <w:r>
        <w:rPr>
          <w:rFonts w:ascii="Arial" w:cs="Arial" w:eastAsia="Arial" w:hAnsi="Arial"/>
          <w:b/>
          <w:bCs/>
          <w:color w:val="16243E"/>
          <w:sz w:val="22"/>
          <w:szCs w:val="22"/>
        </w:rPr>
        <w:t xml:space="preserve">A single licensee wants to represent both the buyer and the seller personally in the same transaction, rather than having the broker designate two separate agents. Under Georgia law, what must occur before this licensee may lawfully act as a dual agent for both parties?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The broker must automatically switch to designated agency instead</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Only the seller's consent is required because the seller pays the commission</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Nothing additional is required as long as the licensee treats both parties fairly</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Both parties must give informed written consent to the dual agency after adequate disclosure of its implications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Dual agency, where one licensee represents both the buyer and the seller in the same transaction, is permitted in Georgia only when both parties are fully informed of the significant limitations that dual agency creates and both give their written consent to it. Because a dual agent cannot provide full, undivided loyalty to either side, disclosure of what the licensee can and cannot do for each party is essential before consent is meaningful. Choice C fails because fairness alone does not satisfy the informed-consent requirement, choice A is incorrect because designated agency is a separate arrangement the broker may choose to offer but is not automatically substituted, and choice B is wrong because both parties, not just the one paying the commission, must consent.</w:t>
      </w:r>
    </w:p>
    <w:p>
      <w:pPr>
        <w:spacing w:after="80" w:before="220"/>
      </w:pPr>
      <w:r>
        <w:rPr>
          <w:rFonts w:ascii="Arial" w:cs="Arial" w:eastAsia="Arial" w:hAnsi="Arial"/>
          <w:b/>
          <w:bCs/>
          <w:color w:val="E5431F"/>
          <w:sz w:val="22"/>
          <w:szCs w:val="22"/>
        </w:rPr>
        <w:t xml:space="preserve">Q18.  </w:t>
      </w:r>
      <w:r>
        <w:rPr>
          <w:rFonts w:ascii="Arial" w:cs="Arial" w:eastAsia="Arial" w:hAnsi="Arial"/>
          <w:b/>
          <w:bCs/>
          <w:color w:val="16243E"/>
          <w:sz w:val="22"/>
          <w:szCs w:val="22"/>
        </w:rPr>
        <w:t xml:space="preserve">Using the common mnemonic OLDCAR to remember a client-level fiduciary duty, which of the following best illustrates the duty of "Obedience"?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The agent uses professional knowledge and skill to competently price and market the property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agent provides the client with a full accounting of any earnest money handled during the transaction</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The seller's agent promptly follows the seller's lawful instruction to present all offers immediately rather than waiting until an open house concludes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agent keeps the client's motivation for selling confidential from other parties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The duty of obedience under the OLDCAR framework requires an agent to follow the client's lawful instructions promptly and completely, so long as those instructions do not require illegal or unethical conduct; presenting offers immediately at the client's direction is a textbook example of obedience in action. Choice D describes the separate duty of confidentiality, choice B describes the duty of accounting, and choice A describes the duty of reasonable care and skill, each of which is a distinct component of the OLDCAR duties rather than obedience. Recognizing which specific duty a fact pattern illustrates is a frequent exam skill tested on the Georgia salesperson exam.</w:t>
      </w:r>
    </w:p>
    <w:p>
      <w:pPr>
        <w:spacing w:after="80" w:before="220"/>
      </w:pPr>
      <w:r>
        <w:rPr>
          <w:rFonts w:ascii="Arial" w:cs="Arial" w:eastAsia="Arial" w:hAnsi="Arial"/>
          <w:b/>
          <w:bCs/>
          <w:color w:val="E5431F"/>
          <w:sz w:val="22"/>
          <w:szCs w:val="22"/>
        </w:rPr>
        <w:t xml:space="preserve">Q19.  </w:t>
      </w:r>
      <w:r>
        <w:rPr>
          <w:rFonts w:ascii="Arial" w:cs="Arial" w:eastAsia="Arial" w:hAnsi="Arial"/>
          <w:b/>
          <w:bCs/>
          <w:color w:val="16243E"/>
          <w:sz w:val="22"/>
          <w:szCs w:val="22"/>
        </w:rPr>
        <w:t xml:space="preserve">A buyer working with a listing agent as a customer, without any agency representation, asks the agent whether the roof has ever leaked. The agent knows the roof leaked significantly two years ago and was repaired. What duty obligates the agent to disclose this information to the buyer even though the buyer is not the agent's client?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No duty applies because the buyer is merely a customer</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The duty of honesty and disclosure of known material facts owed to all parties, including customers</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The fiduciary duty of confidentiality owed only to clients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fiduciary duty of loyalty owed only to clients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Even a licensee who represents only the seller owes every party in the transaction, including an unrepresented buyer-customer, the baseline duties of honesty, fair dealing, and disclosure of known material facts about the property; a past significant roof leak is exactly the kind of material fact that must be disclosed when directly asked, and often even without being asked. Choices D and C are incorrect because loyalty and confidentiality are fiduciary duties reserved for the agent's actual client, not extended to customers. Choice A is wrong because customer status limits which duties apply, but it does not eliminate the duty of honest disclosure of known material facts.</w:t>
      </w:r>
    </w:p>
    <w:p>
      <w:pPr>
        <w:spacing w:after="80" w:before="220"/>
      </w:pPr>
      <w:r>
        <w:rPr>
          <w:rFonts w:ascii="Arial" w:cs="Arial" w:eastAsia="Arial" w:hAnsi="Arial"/>
          <w:b/>
          <w:bCs/>
          <w:color w:val="E5431F"/>
          <w:sz w:val="22"/>
          <w:szCs w:val="22"/>
        </w:rPr>
        <w:t xml:space="preserve">Q20.  </w:t>
      </w:r>
      <w:r>
        <w:rPr>
          <w:rFonts w:ascii="Arial" w:cs="Arial" w:eastAsia="Arial" w:hAnsi="Arial"/>
          <w:b/>
          <w:bCs/>
          <w:color w:val="16243E"/>
          <w:sz w:val="22"/>
          <w:szCs w:val="22"/>
        </w:rPr>
        <w:t xml:space="preserve">Historically, before designated and buyer agency became widespread, a cooperating broker who showed a property to a buyer but who owed fiduciary duties to the seller (through the listing broker) was known as which of the following?</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 transaction broker</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A dual agent</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A subagent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 buyer's agent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 subagent is a cooperating broker who, despite working directly with the buyer, actually represents the seller's interests because the subagent's fiduciary duties flow through the listing broker back to the seller; the buyer in this arrangement is merely a customer of the subagent, not a client. This structure was more common before buyer agency and designated agency became standard practice, precisely because it often confused buyers about whose interests were actually being protected. Choice D is incorrect because a true buyer's agent owes fiduciary duties directly to the buyer, and choices A and B describe different relationships that do not match a broker representing the seller while working with the buyer as a customer.</w:t>
      </w:r>
    </w:p>
    <w:p>
      <w:pPr>
        <w:spacing w:after="80" w:before="220"/>
      </w:pPr>
      <w:r>
        <w:rPr>
          <w:rFonts w:ascii="Arial" w:cs="Arial" w:eastAsia="Arial" w:hAnsi="Arial"/>
          <w:b/>
          <w:bCs/>
          <w:color w:val="E5431F"/>
          <w:sz w:val="22"/>
          <w:szCs w:val="22"/>
        </w:rPr>
        <w:t xml:space="preserve">Q21.  </w:t>
      </w:r>
      <w:r>
        <w:rPr>
          <w:rFonts w:ascii="Arial" w:cs="Arial" w:eastAsia="Arial" w:hAnsi="Arial"/>
          <w:b/>
          <w:bCs/>
          <w:color w:val="16243E"/>
          <w:sz w:val="22"/>
          <w:szCs w:val="22"/>
        </w:rPr>
        <w:t xml:space="preserve">A seller signs a 90-day exclusive listing agreement with a broker. Sixty days into the listing, the seller dies unexpectedly before the property has sold. What is the most likely effect on the agency relationship?</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The agency relationship generally terminates by operation of law upon the death of the principal</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listing continues unaffected until the 90 days expire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The listing broker automatically becomes a designated dual agent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buyer's agent, if any, must now also represent the deceased seller's estate automatically</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Agency relationships can terminate in several ways beyond simply fulfilling their purpose or expiring by their own terms, including by operation of law, and the death or incapacity of either the principal or the agent is a classic example that generally ends the agency immediately, regardless of how much time remains on the listing period. Choice B is incorrect because the passage of a fixed term is irrelevant once death terminates the underlying agency relationship. Choices D and C are incorrect because death of the seller does not automatically create or alter any agency relationship on the buyer's side, and any continued representation of the estate would require a new agreement with the estate's representative.</w:t>
      </w:r>
    </w:p>
    <w:p>
      <w:pPr>
        <w:spacing w:after="80" w:before="220"/>
      </w:pPr>
      <w:r>
        <w:rPr>
          <w:rFonts w:ascii="Arial" w:cs="Arial" w:eastAsia="Arial" w:hAnsi="Arial"/>
          <w:b/>
          <w:bCs/>
          <w:color w:val="E5431F"/>
          <w:sz w:val="22"/>
          <w:szCs w:val="22"/>
        </w:rPr>
        <w:t xml:space="preserve">Q22.  </w:t>
      </w:r>
      <w:r>
        <w:rPr>
          <w:rFonts w:ascii="Arial" w:cs="Arial" w:eastAsia="Arial" w:hAnsi="Arial"/>
          <w:b/>
          <w:bCs/>
          <w:color w:val="16243E"/>
          <w:sz w:val="22"/>
          <w:szCs w:val="22"/>
        </w:rPr>
        <w:t xml:space="preserve">Under Georgia's Brokerage Relationships in Real Estate Transactions Act (BRRETA), what is generally required of a licensee regarding disclosure of the type of brokerage relationship the licensee has with a party?</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Disclosure is required only if the transaction involves dual agency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Disclosure is optional and left entirely to the licensee's discretion</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Disclosure is only required after closing, as part of the final settlement documents</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The licensee must provide a written brokerage engagement disclosure or otherwise disclose the working relationship type before or at the time of entering into the agreement, so consumers understand who represents whom</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BRRETA is built around the principle that consumers are entitled to know, in a timely way, whether the licensee they are dealing with represents them, the other party, both parties as a designated or dual agent, or neither, and Georgia practice implements this through required brokerage engagement documents and disclosures made at or before entering into the relationship. This transparency requirement protects buyers and sellers from mistakenly assuming a licensee is looking out for their interests when the licensee actually represents someone else. Choice B is wrong because disclosure is a legal expectation rather than optional, choice A is too narrow because disclosure obligations apply across all types of brokerage relationships, not just dual agency, and choice C is wrong because disclosure that comes only after closing would defeat its entire purpose of informing the consumer during the transaction.</w:t>
      </w:r>
    </w:p>
    <w:p>
      <w:pPr>
        <w:spacing w:after="80" w:before="220"/>
      </w:pPr>
      <w:r>
        <w:rPr>
          <w:rFonts w:ascii="Arial" w:cs="Arial" w:eastAsia="Arial" w:hAnsi="Arial"/>
          <w:b/>
          <w:bCs/>
          <w:color w:val="E5431F"/>
          <w:sz w:val="22"/>
          <w:szCs w:val="22"/>
        </w:rPr>
        <w:t xml:space="preserve">Q23.  </w:t>
      </w:r>
      <w:r>
        <w:rPr>
          <w:rFonts w:ascii="Arial" w:cs="Arial" w:eastAsia="Arial" w:hAnsi="Arial"/>
          <w:b/>
          <w:bCs/>
          <w:color w:val="16243E"/>
          <w:sz w:val="22"/>
          <w:szCs w:val="22"/>
        </w:rPr>
        <w:t xml:space="preserve">A broker learns that one of the broker's affiliated licensees has been telling buyers confidential information about a seller-client's bottom-line negotiating position, in violation of the firm's agency policies. Under Georgia license law, who bears ultimate responsibility for ensuring affiliated licensees comply with agency duties and firm policy?</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Responsibility shifts entirely to the client once a violation occurs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Georgia Real Estate Commission directly supervises each licensee's daily conduct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Each individual licensee bears sole responsibility, with no oversight role for the broker</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The broker is responsible for reasonably supervising affiliated licensees and their compliance with agency law and brokerage policy</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Georgia license law places responsibility on the broker to establish policies and reasonably supervise the licensees affiliated with the firm, including ensuring that affiliated licensees understand and honor the fiduciary duties owed in each type of brokerage relationship, such as keeping a client's confidential negotiating information private. This supervisory duty is a cornerstone of broker accountability and is a common source of license law enforcement actions when it is neglected. Choice C is incorrect because individual licensee responsibility does not eliminate the broker's separate supervisory obligation, choice B misstates the Commission's role since it sets and enforces licensing standards rather than performing day-to-day supervision, and choice A is incorrect because a violation does not transfer responsibility to the client.</w:t>
      </w:r>
    </w:p>
    <w:p>
      <w:pPr>
        <w:spacing w:after="80" w:before="220"/>
      </w:pPr>
      <w:r>
        <w:rPr>
          <w:rFonts w:ascii="Arial" w:cs="Arial" w:eastAsia="Arial" w:hAnsi="Arial"/>
          <w:b/>
          <w:bCs/>
          <w:color w:val="E5431F"/>
          <w:sz w:val="22"/>
          <w:szCs w:val="22"/>
        </w:rPr>
        <w:t xml:space="preserve">Q24.  </w:t>
      </w:r>
      <w:r>
        <w:rPr>
          <w:rFonts w:ascii="Arial" w:cs="Arial" w:eastAsia="Arial" w:hAnsi="Arial"/>
          <w:b/>
          <w:bCs/>
          <w:color w:val="16243E"/>
          <w:sz w:val="22"/>
          <w:szCs w:val="22"/>
        </w:rPr>
        <w:t xml:space="preserve">A seller's agent is negotiating on the seller's behalf and, during a private conversation, the seller reveals that they would accept as little as $10,000 below the listing price if necessary to sell quickly. Later, the buyer's agent asks the seller's agent directly what the lowest price the seller would accept is. Which fiduciary duty most directly prevents the seller's agent from revealing this figure?</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Confidentiality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Reasonable care and skill</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Obedience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Accounting</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The fiduciary duty of confidentiality requires an agent to protect a client's sensitive information, including the client's true negotiating limits or motivations, both during the agency relationship and typically even after it ends, unless the client authorizes disclosure or the law requires it. Revealing the seller's lowest acceptable price to the buyer's agent would seriously undermine the seller's negotiating position and is exactly the harm the duty of confidentiality is designed to prevent. Choice D is incorrect because accounting relates to handling of client funds and documents, choice B relates to competence in performing services, and choice C relates to following the client's lawful instructions, none of which directly governs protecting sensitive negotiating information the way confidentiality does.</w:t>
      </w:r>
    </w:p>
    <w:p>
      <w:pPr>
        <w:pStyle w:val="Heading1"/>
        <w:pBdr>
          <w:bottom w:val="single" w:color="E5431F" w:sz="12" w:space="4"/>
        </w:pBdr>
        <w:spacing w:after="200" w:before="400"/>
      </w:pPr>
      <w:r>
        <w:rPr>
          <w:rFonts w:ascii="Arial" w:cs="Arial" w:eastAsia="Arial" w:hAnsi="Arial"/>
          <w:b/>
          <w:bCs/>
          <w:color w:val="16243E"/>
          <w:sz w:val="28"/>
          <w:szCs w:val="28"/>
        </w:rPr>
        <w:t xml:space="preserve">Finance &amp; Financing  (Questions 25–34)</w:t>
      </w:r>
    </w:p>
    <w:p>
      <w:pPr>
        <w:spacing w:after="80" w:before="220"/>
      </w:pPr>
      <w:r>
        <w:rPr>
          <w:rFonts w:ascii="Arial" w:cs="Arial" w:eastAsia="Arial" w:hAnsi="Arial"/>
          <w:b/>
          <w:bCs/>
          <w:color w:val="E5431F"/>
          <w:sz w:val="22"/>
          <w:szCs w:val="22"/>
        </w:rPr>
        <w:t xml:space="preserve">Q25.  </w:t>
      </w:r>
      <w:r>
        <w:rPr>
          <w:rFonts w:ascii="Arial" w:cs="Arial" w:eastAsia="Arial" w:hAnsi="Arial"/>
          <w:b/>
          <w:bCs/>
          <w:color w:val="16243E"/>
          <w:sz w:val="22"/>
          <w:szCs w:val="22"/>
        </w:rPr>
        <w:t xml:space="preserve">Which of the following loan types is insured by a federal agency and is known for allowing a lower minimum down payment (as low as 3.5%) and more flexible credit requirements than conventional financing?</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VA loan</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Conventional loan</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USDA Rural Development loan</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FHA loan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FHA loans are insured by the Federal Housing Administration, which protects the lender against loss rather than guaranteeing the loan outright, allowing lenders to offer down payments as low as 3.5% and more lenient credit standards. VA loans are guaranteed (not insured) by the Department of Veterans Affairs and are limited to eligible veterans, active-duty service members, and certain surviving spouses, so option A is too narrow to fit the description. USDA loans serve a specific rural, low-to-moderate income population and are guaranteed rather than insured, and conventional loans carry no government backing at all, typically requiring stronger credit and often a larger down payment unless PMI is used. Because the question describes government insurance with a low down payment and flexible qualifying, FHA is the best answer.</w:t>
      </w:r>
    </w:p>
    <w:p>
      <w:pPr>
        <w:spacing w:after="80" w:before="220"/>
      </w:pPr>
      <w:r>
        <w:rPr>
          <w:rFonts w:ascii="Arial" w:cs="Arial" w:eastAsia="Arial" w:hAnsi="Arial"/>
          <w:b/>
          <w:bCs/>
          <w:color w:val="E5431F"/>
          <w:sz w:val="22"/>
          <w:szCs w:val="22"/>
        </w:rPr>
        <w:t xml:space="preserve">Q26.  </w:t>
      </w:r>
      <w:r>
        <w:rPr>
          <w:rFonts w:ascii="Arial" w:cs="Arial" w:eastAsia="Arial" w:hAnsi="Arial"/>
          <w:b/>
          <w:bCs/>
          <w:color w:val="16243E"/>
          <w:sz w:val="22"/>
          <w:szCs w:val="22"/>
        </w:rPr>
        <w:t xml:space="preserve">A loan amount that exceeds the maximum loan limits established by Fannie Mae and Freddie Mac, and therefore cannot be purchased by them, is best classified as a:</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Conforming loan</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Government-insured loan</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Non-conforming (jumbo) loan</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Amortized loan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 non-conforming loan, commonly called a jumbo loan when the issue is loan size, is one that fails to meet the purchase guidelines set by Fannie Mae and Freddie Mac, most often because the loan amount is above the annually published limit for the area. Because these loans cannot be sold to Fannie Mae or Freddie Mac on the secondary market, lenders often hold more risk and may require stronger credit, larger down payments, or charge a higher interest rate. A conforming loan, by contrast, meets those exact size and underwriting guidelines and can be readily sold on the secondary market, which makes option A the opposite of what is described. Government-insured loans (FHA, VA, USDA) are a separate category defined by insurance or guarantee status, not by conformity to Fannie Mae/Freddie Mac limits, so option B does not match the scenario either.</w:t>
      </w:r>
    </w:p>
    <w:p>
      <w:pPr>
        <w:spacing w:after="80" w:before="220"/>
      </w:pPr>
      <w:r>
        <w:rPr>
          <w:rFonts w:ascii="Arial" w:cs="Arial" w:eastAsia="Arial" w:hAnsi="Arial"/>
          <w:b/>
          <w:bCs/>
          <w:color w:val="E5431F"/>
          <w:sz w:val="22"/>
          <w:szCs w:val="22"/>
        </w:rPr>
        <w:t xml:space="preserve">Q27.  </w:t>
      </w:r>
      <w:r>
        <w:rPr>
          <w:rFonts w:ascii="Arial" w:cs="Arial" w:eastAsia="Arial" w:hAnsi="Arial"/>
          <w:b/>
          <w:bCs/>
          <w:color w:val="16243E"/>
          <w:sz w:val="22"/>
          <w:szCs w:val="22"/>
        </w:rPr>
        <w:t xml:space="preserve">A buyer is worried about interest rates rising over the life of a 30-year loan and wants a monthly principal-and-interest payment that will never change. Which loan product best meets this need?</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Adjustable-rate mortgage (ARM)</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Fixed-rate mortgage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Balloon mortgage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Graduated payment mortgage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 fixed-rate mortgage locks in the same interest rate for the entire loan term, which means the principal-and-interest portion of the monthly payment stays constant from the first payment to the last, giving the borrower complete predictability and protection from future rate increases. An adjustable-rate mortgage (ARM) does the opposite of what the buyer wants, since its rate (and therefore payment) can rise or fall periodically after an initial fixed period, tied to a financial index. A graduated payment mortgage starts with lower payments that increase on a set schedule, and a balloon mortgage has level payments for a period but ends with one large lump-sum payment, so neither offers the level, unchanging payment the buyer is seeking. Because the buyer's priority is payment stability against rising rates, the fixed-rate mortgage is the correct choice.</w:t>
      </w:r>
    </w:p>
    <w:p>
      <w:pPr>
        <w:spacing w:after="80" w:before="220"/>
      </w:pPr>
      <w:r>
        <w:rPr>
          <w:rFonts w:ascii="Arial" w:cs="Arial" w:eastAsia="Arial" w:hAnsi="Arial"/>
          <w:b/>
          <w:bCs/>
          <w:color w:val="E5431F"/>
          <w:sz w:val="22"/>
          <w:szCs w:val="22"/>
        </w:rPr>
        <w:t xml:space="preserve">Q28.  </w:t>
      </w:r>
      <w:r>
        <w:rPr>
          <w:rFonts w:ascii="Arial" w:cs="Arial" w:eastAsia="Arial" w:hAnsi="Arial"/>
          <w:b/>
          <w:bCs/>
          <w:color w:val="16243E"/>
          <w:sz w:val="22"/>
          <w:szCs w:val="22"/>
        </w:rPr>
        <w:t xml:space="preserve">In underwriting, the classic "4 Cs" are capacity, credit, collateral, and capital. Which of these four specifically refers to the borrower's cash reserves, savings, and other liquid assets available for the down payment, closing costs, and reserves after closing?</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Capital</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Credit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Collateral</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Capacity</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Capital refers to the borrower's savings, investments, and other liquid or near-liquid assets that demonstrate the financial cushion needed to cover the down payment, closing costs, and a reserve fund for unexpected expenses after the loan closes. Capacity, by contrast, looks at the borrower's income and debt obligations to judge the ability to make ongoing monthly payments, which is a different underwriting question than how much cash the borrower currently has on hand. Collateral concerns the value and marketability of the property being pledged as security for the loan (closely tied to the appraisal and loan-to-value ratio), while credit examines the borrower's payment history and credit score as an indicator of willingness to repay debt. Since the question asks specifically about cash reserves and assets on hand, capital is the correct term.</w:t>
      </w:r>
    </w:p>
    <w:p>
      <w:pPr>
        <w:spacing w:after="80" w:before="220"/>
      </w:pPr>
      <w:r>
        <w:rPr>
          <w:rFonts w:ascii="Arial" w:cs="Arial" w:eastAsia="Arial" w:hAnsi="Arial"/>
          <w:b/>
          <w:bCs/>
          <w:color w:val="E5431F"/>
          <w:sz w:val="22"/>
          <w:szCs w:val="22"/>
        </w:rPr>
        <w:t xml:space="preserve">Q29.  </w:t>
      </w:r>
      <w:r>
        <w:rPr>
          <w:rFonts w:ascii="Arial" w:cs="Arial" w:eastAsia="Arial" w:hAnsi="Arial"/>
          <w:b/>
          <w:bCs/>
          <w:color w:val="16243E"/>
          <w:sz w:val="22"/>
          <w:szCs w:val="22"/>
        </w:rPr>
        <w:t xml:space="preserve">On a conventional loan, private mortgage insurance (PMI) is generally required by the lender under which of the following circumstances?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On every FHA-insured loan regardless of down payment size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Only when the loan amount exceeds the conforming loan limit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Whenever the borrower has an excellent credit score</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When the borrower's down payment is less than 20% of the purchase price (loan-to-value above 80%)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Lenders typically require PMI on conventional loans when the down payment is less than 20%, because a loan-to-value ratio above 80% represents greater risk of loss to the lender if the borrower defaults, and PMI shifts part of that risk to a private insurer. PMI is not tied to having excellent credit; in fact, a strong credit score may earn a lower PMI rate, but it does not eliminate the requirement created by a high LTV, so option C is incorrect. FHA loans have their own separate mortgage insurance premium (MIP), which is a distinct program from conventional PMI, making option A a mismatch of loan types. Loan size alone (option B) does not trigger PMI; it is the down payment percentage, and therefore the resulting LTV, that determines whether PMI is required, and PMI can generally be removed once the borrower reaches 20% equity.</w:t>
      </w:r>
    </w:p>
    <w:p>
      <w:pPr>
        <w:spacing w:after="80" w:before="220"/>
      </w:pPr>
      <w:r>
        <w:rPr>
          <w:rFonts w:ascii="Arial" w:cs="Arial" w:eastAsia="Arial" w:hAnsi="Arial"/>
          <w:b/>
          <w:bCs/>
          <w:color w:val="E5431F"/>
          <w:sz w:val="22"/>
          <w:szCs w:val="22"/>
        </w:rPr>
        <w:t xml:space="preserve">Q30.  </w:t>
      </w:r>
      <w:r>
        <w:rPr>
          <w:rFonts w:ascii="Arial" w:cs="Arial" w:eastAsia="Arial" w:hAnsi="Arial"/>
          <w:b/>
          <w:bCs/>
          <w:color w:val="16243E"/>
          <w:sz w:val="22"/>
          <w:szCs w:val="22"/>
        </w:rPr>
        <w:t xml:space="preserve">A buyer obtains a $200,000 loan and agrees to pay 2 discount points at closing to secure a lower interest rate. How much will the buyer pay for these points?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$200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$20,000</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$4,000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$2,000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One discount point always equals 1% of the loan amount, not the purchase price, so on a $200,000 loan, one point costs $2,000 and two points cost $4,000. This is a straightforward percentage calculation: 2% of $200,000 is $4,000, making option C correct. Option D reflects the cost of only one point rather than two, and options A and B result from misplacing the decimal point in the percentage calculation. Discount points are prepaid interest that lenders accept in exchange for offering the borrower a reduced interest rate over the life of the loan, sometimes called a buydown.</w:t>
      </w:r>
    </w:p>
    <w:p>
      <w:pPr>
        <w:spacing w:after="80" w:before="220"/>
      </w:pPr>
      <w:r>
        <w:rPr>
          <w:rFonts w:ascii="Arial" w:cs="Arial" w:eastAsia="Arial" w:hAnsi="Arial"/>
          <w:b/>
          <w:bCs/>
          <w:color w:val="E5431F"/>
          <w:sz w:val="22"/>
          <w:szCs w:val="22"/>
        </w:rPr>
        <w:t xml:space="preserve">Q31.  </w:t>
      </w:r>
      <w:r>
        <w:rPr>
          <w:rFonts w:ascii="Arial" w:cs="Arial" w:eastAsia="Arial" w:hAnsi="Arial"/>
          <w:b/>
          <w:bCs/>
          <w:color w:val="16243E"/>
          <w:sz w:val="22"/>
          <w:szCs w:val="22"/>
        </w:rPr>
        <w:t xml:space="preserve">A home is purchased for $250,000, and the buyer obtains a loan of $200,000. What is the loan-to-value (LTV) ratio on this transaction?</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90%</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80%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75%</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125%</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The loan-to-value ratio is calculated by dividing the loan amount by the property's value or purchase price, whichever is used as the basis: $200,000 divided by $250,000 equals 0.80, or 80%. This means the buyer is financing 80% of the home's value and making a 20% down payment ($50,000), which is a key threshold lenders use in decisions such as whether PMI will be required. Option A would result from an incorrect division, and option D incorrectly inverts the value and loan amount. Understanding LTV is essential because it is one of the primary risk indicators lenders use, alongside the borrower's credit and income, when underwriting a loan.</w:t>
      </w:r>
    </w:p>
    <w:p>
      <w:pPr>
        <w:spacing w:after="80" w:before="220"/>
      </w:pPr>
      <w:r>
        <w:rPr>
          <w:rFonts w:ascii="Arial" w:cs="Arial" w:eastAsia="Arial" w:hAnsi="Arial"/>
          <w:b/>
          <w:bCs/>
          <w:color w:val="E5431F"/>
          <w:sz w:val="22"/>
          <w:szCs w:val="22"/>
        </w:rPr>
        <w:t xml:space="preserve">Q32.  </w:t>
      </w:r>
      <w:r>
        <w:rPr>
          <w:rFonts w:ascii="Arial" w:cs="Arial" w:eastAsia="Arial" w:hAnsi="Arial"/>
          <w:b/>
          <w:bCs/>
          <w:color w:val="16243E"/>
          <w:sz w:val="22"/>
          <w:szCs w:val="22"/>
        </w:rPr>
        <w:t xml:space="preserve">Which of the following documents is the actual evidence of debt, containing the borrower's personal promise to repay a specified sum under specified terms, while a separate instrument is used to pledge the real property as security for that debt?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Mortgage</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Promissory note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Deed of trust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Deed of reconveyance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The promissory note is the borrower's personal, negotiable promise to repay the loan according to its stated terms (amount, interest rate, and repayment schedule), and it is this note that creates the underlying debt obligation. The mortgage or deed of trust, by contrast, is the security instrument that pledges the real property as collateral for that debt and gives the lender (or trustee, in a deed of trust state) a remedy such as foreclosure if the borrower defaults, but it does not itself create the personal debt obligation. A deed of reconveyance is used in deed of trust states to release the property from the security instrument once the debt is paid in full, which is unrelated to creating the debt in the first place. Because the note and the security instrument (mortgage or deed of trust) serve distinct legal functions, exam questions often test whether candidates can tell them apart, and here the promissory note is the answer being described.</w:t>
      </w:r>
    </w:p>
    <w:p>
      <w:pPr>
        <w:spacing w:after="80" w:before="220"/>
      </w:pPr>
      <w:r>
        <w:rPr>
          <w:rFonts w:ascii="Arial" w:cs="Arial" w:eastAsia="Arial" w:hAnsi="Arial"/>
          <w:b/>
          <w:bCs/>
          <w:color w:val="E5431F"/>
          <w:sz w:val="22"/>
          <w:szCs w:val="22"/>
        </w:rPr>
        <w:t xml:space="preserve">Q33.  </w:t>
      </w:r>
      <w:r>
        <w:rPr>
          <w:rFonts w:ascii="Arial" w:cs="Arial" w:eastAsia="Arial" w:hAnsi="Arial"/>
          <w:b/>
          <w:bCs/>
          <w:color w:val="16243E"/>
          <w:sz w:val="22"/>
          <w:szCs w:val="22"/>
        </w:rPr>
        <w:t xml:space="preserve">Which of the following entities operates in the secondary mortgage market by purchasing conventional conforming loans from originating lenders, thereby replenishing lenders' funds to make new loans, but does not itself insure or guarantee government loan programs?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Department of Veterans Affairs (VA)</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Federal Housing Administration (FHA)</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Ginnie Mae</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Fannie Mae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Fannie Mae (along with Freddie Mac) is a secondary market entity that buys conventional conforming mortgages from banks and other originators, bundles them, and sells mortgage-backed securities to investors, which provides lenders with fresh capital to originate additional loans. The FHA and VA operate in the primary market as government agencies that insure or guarantee individual loans made by private lenders, but they do not purchase and pool loans the way Fannie Mae does, so options B and A describe a different function entirely. Ginnie Mae is also a secondary market participant, but its role is to guarantee mortgage-backed securities that are backed specifically by government-insured loans (FHA, VA, USDA), rather than purchasing conventional conforming loans as Fannie Mae does. Because the question describes the purchase of conventional conforming loans rather than government-loan-backed securities, Fannie Mae is the correct answer.</w:t>
      </w:r>
    </w:p>
    <w:p>
      <w:pPr>
        <w:spacing w:after="80" w:before="220"/>
      </w:pPr>
      <w:r>
        <w:rPr>
          <w:rFonts w:ascii="Arial" w:cs="Arial" w:eastAsia="Arial" w:hAnsi="Arial"/>
          <w:b/>
          <w:bCs/>
          <w:color w:val="E5431F"/>
          <w:sz w:val="22"/>
          <w:szCs w:val="22"/>
        </w:rPr>
        <w:t xml:space="preserve">Q34.  </w:t>
      </w:r>
      <w:r>
        <w:rPr>
          <w:rFonts w:ascii="Arial" w:cs="Arial" w:eastAsia="Arial" w:hAnsi="Arial"/>
          <w:b/>
          <w:bCs/>
          <w:color w:val="16243E"/>
          <w:sz w:val="22"/>
          <w:szCs w:val="22"/>
        </w:rPr>
        <w:t xml:space="preserve">A loan's periodic payments are calculated to cover both principal and interest, but the payment schedule does not fully retire the debt by the end of the loan term, leaving a large lump-sum payment due at maturity. This describes a:</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Balloon (partially amortized) loan</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Fully amortized loan</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Straight (interest-only) loan</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Adjustable-rate loan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A balloon loan is partially amortized, meaning the regular payments include some principal reduction along with interest, but the payments are set on a schedule (such as a 30-year amortization) that is shorter than the actual loan term (such as 7 or 10 years), leaving a substantial unpaid balance due as one final lump-sum "balloon" payment. This differs from a fully amortized loan, where the payment schedule is calculated so that the very last scheduled payment brings the balance to exactly zero, making option B the opposite scenario. A straight, or interest-only (term), loan is even more extreme than a balloon loan because none of the regular payments reduce principal at all, with the entire principal due in one payment at maturity, so option C does not fit a loan described as having partial principal reduction. An adjustable-rate loan refers to how the interest rate can change over time and is a separate, unrelated characteristic from how the principal is retired, so option D addresses the wrong feature of the loan.</w:t>
      </w:r>
    </w:p>
    <w:p>
      <w:pPr>
        <w:pStyle w:val="Heading1"/>
        <w:pBdr>
          <w:bottom w:val="single" w:color="E5431F" w:sz="12" w:space="4"/>
        </w:pBdr>
        <w:spacing w:after="200" w:before="400"/>
      </w:pPr>
      <w:r>
        <w:rPr>
          <w:rFonts w:ascii="Arial" w:cs="Arial" w:eastAsia="Arial" w:hAnsi="Arial"/>
          <w:b/>
          <w:bCs/>
          <w:color w:val="16243E"/>
          <w:sz w:val="28"/>
          <w:szCs w:val="28"/>
        </w:rPr>
        <w:t xml:space="preserve">Forms of Ownership &amp; Estates  (Questions 35–44)</w:t>
      </w:r>
    </w:p>
    <w:p>
      <w:pPr>
        <w:spacing w:after="80" w:before="220"/>
      </w:pPr>
      <w:r>
        <w:rPr>
          <w:rFonts w:ascii="Arial" w:cs="Arial" w:eastAsia="Arial" w:hAnsi="Arial"/>
          <w:b/>
          <w:bCs/>
          <w:color w:val="E5431F"/>
          <w:sz w:val="22"/>
          <w:szCs w:val="22"/>
        </w:rPr>
        <w:t xml:space="preserve">Q35.  </w:t>
      </w:r>
      <w:r>
        <w:rPr>
          <w:rFonts w:ascii="Arial" w:cs="Arial" w:eastAsia="Arial" w:hAnsi="Arial"/>
          <w:b/>
          <w:bCs/>
          <w:color w:val="16243E"/>
          <w:sz w:val="22"/>
          <w:szCs w:val="22"/>
        </w:rPr>
        <w:t xml:space="preserve">Which type of freehold estate gives the owner the greatest possible bundle of rights, with no conditions or limitations on duration or use, and is inheritable by the owner's heirs?</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Fee simple absolute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Fee simple determinable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Estate for years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Life estate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Fee simple absolute is the highest form of ownership recognized in real property law, granting the owner unconditional, perpetual ownership that can be sold, mortgaged, or passed to heirs with no strings attached. A life estate ends automatically at the death of a measuring life, so it is not the greatest estate available. Fee simple determinable looks similar but includes a durational limitation that can cause automatic forfeiture, making it a lesser, defeasible estate. An estate for years is a leasehold, non-freehold interest with a fixed term rather than an ownership estate at all, which is why A is the only correct choice.</w:t>
      </w:r>
    </w:p>
    <w:p>
      <w:pPr>
        <w:spacing w:after="80" w:before="220"/>
      </w:pPr>
      <w:r>
        <w:rPr>
          <w:rFonts w:ascii="Arial" w:cs="Arial" w:eastAsia="Arial" w:hAnsi="Arial"/>
          <w:b/>
          <w:bCs/>
          <w:color w:val="E5431F"/>
          <w:sz w:val="22"/>
          <w:szCs w:val="22"/>
        </w:rPr>
        <w:t xml:space="preserve">Q36.  </w:t>
      </w:r>
      <w:r>
        <w:rPr>
          <w:rFonts w:ascii="Arial" w:cs="Arial" w:eastAsia="Arial" w:hAnsi="Arial"/>
          <w:b/>
          <w:bCs/>
          <w:color w:val="16243E"/>
          <w:sz w:val="22"/>
          <w:szCs w:val="22"/>
        </w:rPr>
        <w:t xml:space="preserve">A deed conveys land 'to the Georgia Historical Society so long as the property is used as a museum.' If the property stops being used as a museum, what happens to title?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Title automatically transfers to the state government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historical society keeps fee simple absolute title regardless of use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The grantor must file a quiet title lawsuit before regaining ownership</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Title automatically reverts to the grantor or the grantor's heirs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The phrase 'so long as' creates a fee simple determinable, a defeasible estate limited by a stated durational condition tied directly to the granting language. When that condition is violated, title reverts automatically to the grantor, or the grantor's heirs, by operation of law without any need for court action, which is why option C describing a required lawsuit is incorrect. Option B is wrong because a fee simple determinable is not absolute; it is expressly conditioned on continued qualifying use, and use ceases here. Option A invents a transfer to a third party that the deed language never created, since only the grantor holds the automatic possibility of reverter in this scenario.</w:t>
      </w:r>
    </w:p>
    <w:p>
      <w:pPr>
        <w:spacing w:after="80" w:before="220"/>
      </w:pPr>
      <w:r>
        <w:rPr>
          <w:rFonts w:ascii="Arial" w:cs="Arial" w:eastAsia="Arial" w:hAnsi="Arial"/>
          <w:b/>
          <w:bCs/>
          <w:color w:val="E5431F"/>
          <w:sz w:val="22"/>
          <w:szCs w:val="22"/>
        </w:rPr>
        <w:t xml:space="preserve">Q37.  </w:t>
      </w:r>
      <w:r>
        <w:rPr>
          <w:rFonts w:ascii="Arial" w:cs="Arial" w:eastAsia="Arial" w:hAnsi="Arial"/>
          <w:b/>
          <w:bCs/>
          <w:color w:val="16243E"/>
          <w:sz w:val="22"/>
          <w:szCs w:val="22"/>
        </w:rPr>
        <w:t xml:space="preserve">Owner conveys land 'to Maria for the life of her father, Carlos.' What kind of estate does Maria hold?</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Life estate pur autre vie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Fee simple defeasible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Ordinary life estate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Estate for years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This is a conventional life estate because it was voluntarily created by the grantor's deed, but it is specifically a life estate pur autre vie because its duration is measured by the life of someone other than the life tenant, here Carlos rather than Maria herself. If Maria dies before Carlos does, her interest passes to her heirs or estate for the remainder of Carlos's life, which is the hallmark feature distinguishing it from an ordinary life estate measured by the life tenant's own life, ruling out option C. It is not a fee simple defeasible because the estate is limited by a lifetime, not by a condition of use, and it is not an estate for years because its end date is tied to an unpredictable lifetime rather than a fixed calendar term.</w:t>
      </w:r>
    </w:p>
    <w:p>
      <w:pPr>
        <w:spacing w:after="80" w:before="220"/>
      </w:pPr>
      <w:r>
        <w:rPr>
          <w:rFonts w:ascii="Arial" w:cs="Arial" w:eastAsia="Arial" w:hAnsi="Arial"/>
          <w:b/>
          <w:bCs/>
          <w:color w:val="E5431F"/>
          <w:sz w:val="22"/>
          <w:szCs w:val="22"/>
        </w:rPr>
        <w:t xml:space="preserve">Q38.  </w:t>
      </w:r>
      <w:r>
        <w:rPr>
          <w:rFonts w:ascii="Arial" w:cs="Arial" w:eastAsia="Arial" w:hAnsi="Arial"/>
          <w:b/>
          <w:bCs/>
          <w:color w:val="16243E"/>
          <w:sz w:val="22"/>
          <w:szCs w:val="22"/>
        </w:rPr>
        <w:t xml:space="preserve">Which of the following best describes a legal life estate, as opposed to a conventional life estate?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It can only be created between spouses who hold title as tenants by the entirety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It is created voluntarily by the express language of a deed or will</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It always terminates on a date certain, like a lease</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It arises automatically by operation of law rather than by the express act of the parties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A legal life estate is one that the law itself creates under certain circumstances, rather than one the parties deliberately draft into a deed or will, which is the opposite of the conventional life estate described in option B. Because it arises by operation of law based on a relationship or statutory protection rather than specific granting language, option D accurately captures the concept. Option C is wrong because life estates, whether legal or conventional, are measured by a lifetime rather than a fixed lease term, and option A is incorrect because Georgia does not even recognize tenancy by the entirety as a form of ownership, so legal life estates cannot depend on that structure here.</w:t>
      </w:r>
    </w:p>
    <w:p>
      <w:pPr>
        <w:spacing w:after="80" w:before="220"/>
      </w:pPr>
      <w:r>
        <w:rPr>
          <w:rFonts w:ascii="Arial" w:cs="Arial" w:eastAsia="Arial" w:hAnsi="Arial"/>
          <w:b/>
          <w:bCs/>
          <w:color w:val="E5431F"/>
          <w:sz w:val="22"/>
          <w:szCs w:val="22"/>
        </w:rPr>
        <w:t xml:space="preserve">Q39.  </w:t>
      </w:r>
      <w:r>
        <w:rPr>
          <w:rFonts w:ascii="Arial" w:cs="Arial" w:eastAsia="Arial" w:hAnsi="Arial"/>
          <w:b/>
          <w:bCs/>
          <w:color w:val="16243E"/>
          <w:sz w:val="22"/>
          <w:szCs w:val="22"/>
        </w:rPr>
        <w:t xml:space="preserve">A landlord and tenant sign a lease stating the tenancy begins January 1 and ends December 31 of the same year. What type of leasehold estate is this?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Tenancy at will</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Periodic tenancy</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Tenancy at sufferance</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Estate for years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An estate for years is any leasehold with a definite, agreed-upon beginning and ending date, regardless of whether that period is a full year, a month, or several years, and this lease's fixed January 1 to December 31 term fits that definition precisely. Because the term already has a built-in termination date, the lease ends automatically without either party needing to give notice, which distinguishes it from a periodic tenancy that renews and requires notice to terminate. It is not a tenancy at will because that arrangement has no fixed term at all, and it is not a tenancy at sufferance because the tenant here is lawfully in possession under a valid agreement, not holding over without permission.</w:t>
      </w:r>
    </w:p>
    <w:p>
      <w:pPr>
        <w:spacing w:after="80" w:before="220"/>
      </w:pPr>
      <w:r>
        <w:rPr>
          <w:rFonts w:ascii="Arial" w:cs="Arial" w:eastAsia="Arial" w:hAnsi="Arial"/>
          <w:b/>
          <w:bCs/>
          <w:color w:val="E5431F"/>
          <w:sz w:val="22"/>
          <w:szCs w:val="22"/>
        </w:rPr>
        <w:t xml:space="preserve">Q40.  </w:t>
      </w:r>
      <w:r>
        <w:rPr>
          <w:rFonts w:ascii="Arial" w:cs="Arial" w:eastAsia="Arial" w:hAnsi="Arial"/>
          <w:b/>
          <w:bCs/>
          <w:color w:val="16243E"/>
          <w:sz w:val="22"/>
          <w:szCs w:val="22"/>
        </w:rPr>
        <w:t xml:space="preserve">A tenant rents an apartment on a month-to-month basis with no specific ending date; the tenancy automatically renews each month unless proper notice to terminate is given. This describes which estate?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Estate for years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Life estate</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Periodic tenancy</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Freehold estate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 periodic tenancy continues for successive, automatically renewing periods, such as month to month or year to year, until either the landlord or tenant gives the legally required notice to terminate, which precisely matches the scenario described. This automatic renewal feature is what separates it from an estate for years, which has a fixed termination date built into the original lease and needs no notice to end. Options D and B are incorrect because a periodic tenancy is a non-freehold, leasehold interest involving possession without ownership, not a freehold or life estate, both of which are ownership interests in the land itself.</w:t>
      </w:r>
    </w:p>
    <w:p>
      <w:pPr>
        <w:spacing w:after="80" w:before="220"/>
      </w:pPr>
      <w:r>
        <w:rPr>
          <w:rFonts w:ascii="Arial" w:cs="Arial" w:eastAsia="Arial" w:hAnsi="Arial"/>
          <w:b/>
          <w:bCs/>
          <w:color w:val="E5431F"/>
          <w:sz w:val="22"/>
          <w:szCs w:val="22"/>
        </w:rPr>
        <w:t xml:space="preserve">Q41.  </w:t>
      </w:r>
      <w:r>
        <w:rPr>
          <w:rFonts w:ascii="Arial" w:cs="Arial" w:eastAsia="Arial" w:hAnsi="Arial"/>
          <w:b/>
          <w:bCs/>
          <w:color w:val="16243E"/>
          <w:sz w:val="22"/>
          <w:szCs w:val="22"/>
        </w:rPr>
        <w:t xml:space="preserve">A tenant's one-year lease expired last month, but the tenant has stayed in the property without signing a new lease and without the landlord's consent. What best describes the tenant's current status?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Periodic tenancy</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Tenancy at sufferance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Tenancy at will</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Estate for years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 tenancy at sufferance arises when a tenant who was originally in lawful possession remains in the property after the lease term ends without the landlord's permission, which is exactly what happened once the one-year lease expired and no new agreement was signed. This differs from a tenancy at will, which requires the landlord's ongoing consent for the tenant to remain even though there is no fixed lease term; here consent is explicitly absent, ruling out option C. It is not a periodic tenancy because there was no agreement to renew on a recurring basis, and it is not an estate for years because that original fixed-term lease already expired, leaving the tenant as essentially a trespasser the landlord may evict at any time.</w:t>
      </w:r>
    </w:p>
    <w:p>
      <w:pPr>
        <w:spacing w:after="80" w:before="220"/>
      </w:pPr>
      <w:r>
        <w:rPr>
          <w:rFonts w:ascii="Arial" w:cs="Arial" w:eastAsia="Arial" w:hAnsi="Arial"/>
          <w:b/>
          <w:bCs/>
          <w:color w:val="E5431F"/>
          <w:sz w:val="22"/>
          <w:szCs w:val="22"/>
        </w:rPr>
        <w:t xml:space="preserve">Q42.  </w:t>
      </w:r>
      <w:r>
        <w:rPr>
          <w:rFonts w:ascii="Arial" w:cs="Arial" w:eastAsia="Arial" w:hAnsi="Arial"/>
          <w:b/>
          <w:bCs/>
          <w:color w:val="16243E"/>
          <w:sz w:val="22"/>
          <w:szCs w:val="22"/>
        </w:rPr>
        <w:t xml:space="preserve">Three unrelated investors purchase a rental property together as tenants in common, with ownership shares of 50%, 30%, and 20%. Which statement is true?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Each owner holds a separate, physically divided portion of the property equal to their percentage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Upon the death of one owner, that owner's share automatically passes to the surviving co-owners</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Each owner holds an undivided interest in the whole property, and any owner's share can be sold, mortgaged, or passed to heirs independently</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All three owners must hold equal ownership percentages by law</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Tenancy in common allows each co-owner to hold an undivided interest in the entire property rather than a physically separated section, meaning each owner has the right to use and enjoy the whole parcel regardless of the size of their percentage share. Because there is no right of survivorship in a tenancy in common, a deceased owner's interest passes according to their will or the laws of intestate succession rather than automatically to the other co-owners, which is why option B actually describes joint tenancy and is incorrect here. Ownership percentages under a tenancy in common also do not need to be equal, so option D is false, and option A misstates the undivided interest concept by wrongly suggesting the land itself is physically divided among the owners.</w:t>
      </w:r>
    </w:p>
    <w:p>
      <w:pPr>
        <w:spacing w:after="80" w:before="220"/>
      </w:pPr>
      <w:r>
        <w:rPr>
          <w:rFonts w:ascii="Arial" w:cs="Arial" w:eastAsia="Arial" w:hAnsi="Arial"/>
          <w:b/>
          <w:bCs/>
          <w:color w:val="E5431F"/>
          <w:sz w:val="22"/>
          <w:szCs w:val="22"/>
        </w:rPr>
        <w:t xml:space="preserve">Q43.  </w:t>
      </w:r>
      <w:r>
        <w:rPr>
          <w:rFonts w:ascii="Arial" w:cs="Arial" w:eastAsia="Arial" w:hAnsi="Arial"/>
          <w:b/>
          <w:bCs/>
          <w:color w:val="16243E"/>
          <w:sz w:val="22"/>
          <w:szCs w:val="22"/>
        </w:rPr>
        <w:t xml:space="preserve">Two business partners want to hold title so that if one dies, the surviving partner automatically becomes sole owner of the property without probate. Which form of ownership, if properly created, accomplishes this in Georgia?</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 cooperative ownership interest</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Joint tenancy with right of survivorship</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Tenancy by the entirety</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Tenancy in common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 joint tenancy with right of survivorship gives each co-owner an equal, undivided interest in the property along with the right of survivorship, meaning that when one joint tenant dies, their interest automatically passes to the surviving joint tenant outside of probate, exactly satisfying the partners' goal. Tenancy by the entirety is a form of ownership reserved for married couples in states that recognize it, but Georgia does not recognize tenancy by the entirety at all, so it is never an available option for property held in this state. Tenancy in common is incorrect because it carries no automatic right of survivorship, since each owner's undivided interest instead passes through their estate at death. A cooperative ownership interest refers to owning shares in a corporation that holds title to a building, an entirely different ownership structure unrelated to survivorship rights between co-owners of real property.</w:t>
      </w:r>
    </w:p>
    <w:p>
      <w:pPr>
        <w:spacing w:after="80" w:before="220"/>
      </w:pPr>
      <w:r>
        <w:rPr>
          <w:rFonts w:ascii="Arial" w:cs="Arial" w:eastAsia="Arial" w:hAnsi="Arial"/>
          <w:b/>
          <w:bCs/>
          <w:color w:val="E5431F"/>
          <w:sz w:val="22"/>
          <w:szCs w:val="22"/>
        </w:rPr>
        <w:t xml:space="preserve">Q44.  </w:t>
      </w:r>
      <w:r>
        <w:rPr>
          <w:rFonts w:ascii="Arial" w:cs="Arial" w:eastAsia="Arial" w:hAnsi="Arial"/>
          <w:b/>
          <w:bCs/>
          <w:color w:val="16243E"/>
          <w:sz w:val="22"/>
          <w:szCs w:val="22"/>
        </w:rPr>
        <w:t xml:space="preserve">Which statement accurately distinguishes condominium ownership from cooperative ownership?</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Neither condominiums nor cooperatives allow the owner to sell or transfer their interest without the other owners' unanimous consent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In a condominium, the owner holds shares in a corporation; in a cooperative, the owner holds fee simple title to the unit</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In a condominium, the owner holds fee simple title to the individual unit plus an undivided interest in the common elements; in a cooperative, the owner holds shares in a corporation and a proprietary lease to occupy a unit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Both forms of ownership are examples of community property, which Georgia recognizes for all married co-owners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Condominium ownership combines individual fee simple title to the interior of one's own unit with an undivided interest, shared with all other unit owners, in the building's common elements such as hallways, roofs, and grounds. Cooperative ownership instead gives the resident shares of stock in the corporation that owns the entire building, along with a proprietary lease granting the right to occupy a specific unit, so option B simply reverses these two structures and is incorrect. Option D is wrong on two counts: neither ownership form is a species of community property, and Georgia is not a community property state at all, so that concept does not apply to married co-owners regardless of how title is held. Option A overstates transfer restrictions, since while cooperative boards often have approval rights over incoming shareholders, condominium units can generally be sold or transferred by the owner without unanimous consent from every other owner.</w:t>
      </w:r>
    </w:p>
    <w:p>
      <w:pPr>
        <w:pStyle w:val="Heading1"/>
        <w:pBdr>
          <w:bottom w:val="single" w:color="E5431F" w:sz="12" w:space="4"/>
        </w:pBdr>
        <w:spacing w:after="200" w:before="400"/>
      </w:pPr>
      <w:r>
        <w:rPr>
          <w:rFonts w:ascii="Arial" w:cs="Arial" w:eastAsia="Arial" w:hAnsi="Arial"/>
          <w:b/>
          <w:bCs/>
          <w:color w:val="16243E"/>
          <w:sz w:val="28"/>
          <w:szCs w:val="28"/>
        </w:rPr>
        <w:t xml:space="preserve">Property Interests &amp; Disclosures  (Questions 45–54)</w:t>
      </w:r>
    </w:p>
    <w:p>
      <w:pPr>
        <w:spacing w:after="80" w:before="220"/>
      </w:pPr>
      <w:r>
        <w:rPr>
          <w:rFonts w:ascii="Arial" w:cs="Arial" w:eastAsia="Arial" w:hAnsi="Arial"/>
          <w:b/>
          <w:bCs/>
          <w:color w:val="E5431F"/>
          <w:sz w:val="22"/>
          <w:szCs w:val="22"/>
        </w:rPr>
        <w:t xml:space="preserve">Q45.  </w:t>
      </w:r>
      <w:r>
        <w:rPr>
          <w:rFonts w:ascii="Arial" w:cs="Arial" w:eastAsia="Arial" w:hAnsi="Arial"/>
          <w:b/>
          <w:bCs/>
          <w:color w:val="16243E"/>
          <w:sz w:val="22"/>
          <w:szCs w:val="22"/>
        </w:rPr>
        <w:t xml:space="preserve">Lot 12 has its own full frontage on a public road. Its owner, Maria, also holds a recorded right to walk across a scenic trail on the neighboring Lot 13 to reach a lake. This right automatically benefits whoever owns Lot 12 and automatically burdens whoever owns Lot 13, no matter who buys either parcel in the future. What type of interest does Maria hold?</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Easement in gross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License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Easement by necessity</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Easement appurtenant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This is an easement appurtenant because it involves two parcels: a dominant estate (Lot 12, which benefits) and a servient estate (Lot 13, which is burdened), and the right transfers automatically with the land regardless of who owns either lot. It cannot be an easement in gross, because that type benefits a specific person or company rather than an adjoining parcel, and there is clearly a dominant estate here. It is not a license because a license is a personal, revocable permission that does not run with the land, and it is not an easement by necessity because Lot 12 already has its own road access and does not need this trail to reach a public way.</w:t>
      </w:r>
    </w:p>
    <w:p>
      <w:pPr>
        <w:spacing w:after="80" w:before="220"/>
      </w:pPr>
      <w:r>
        <w:rPr>
          <w:rFonts w:ascii="Arial" w:cs="Arial" w:eastAsia="Arial" w:hAnsi="Arial"/>
          <w:b/>
          <w:bCs/>
          <w:color w:val="E5431F"/>
          <w:sz w:val="22"/>
          <w:szCs w:val="22"/>
        </w:rPr>
        <w:t xml:space="preserve">Q46.  </w:t>
      </w:r>
      <w:r>
        <w:rPr>
          <w:rFonts w:ascii="Arial" w:cs="Arial" w:eastAsia="Arial" w:hAnsi="Arial"/>
          <w:b/>
          <w:bCs/>
          <w:color w:val="16243E"/>
          <w:sz w:val="22"/>
          <w:szCs w:val="22"/>
        </w:rPr>
        <w:t xml:space="preserve">A power company holds a recorded right to run high-voltage transmission lines across a landowner's field. The right belongs to the power company itself rather than to any neighboring parcel, and there is no dominant estate involved. What kind of easement is this?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Easement appurtenant</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Easement in gross</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Prescriptive easement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Easement by necessity</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An easement in gross benefits a specific person or entity, such as a utility company, rather than another piece of real property, and it exists without a dominant estate; this is the classic example tested on Georgia exams for utility, pipeline, and billboard easements. Easement appurtenant is incorrect because there is no benefited (dominant) parcel here, only the burdened land. Easement by necessity requires a landlocked parcel needing access, and a prescriptive easement requires a history of open, hostile, continuous use over a statutory period, neither of which is described in this scenario.</w:t>
      </w:r>
    </w:p>
    <w:p>
      <w:pPr>
        <w:spacing w:after="80" w:before="220"/>
      </w:pPr>
      <w:r>
        <w:rPr>
          <w:rFonts w:ascii="Arial" w:cs="Arial" w:eastAsia="Arial" w:hAnsi="Arial"/>
          <w:b/>
          <w:bCs/>
          <w:color w:val="E5431F"/>
          <w:sz w:val="22"/>
          <w:szCs w:val="22"/>
        </w:rPr>
        <w:t xml:space="preserve">Q47.  </w:t>
      </w:r>
      <w:r>
        <w:rPr>
          <w:rFonts w:ascii="Arial" w:cs="Arial" w:eastAsia="Arial" w:hAnsi="Arial"/>
          <w:b/>
          <w:bCs/>
          <w:color w:val="16243E"/>
          <w:sz w:val="22"/>
          <w:szCs w:val="22"/>
        </w:rPr>
        <w:t xml:space="preserve">A developer subdivides a large tract into two lots and sells Lot B, which ends up completely surrounded by Lot A and other parcels with no access to any public road. Which type of easement would a court most likely create to give Lot B usable access?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Prescriptive easement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License</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Easement by necessity</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Easement in gross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An easement by necessity is implied by law when a parcel is landlocked and has no other reasonable access to a public road, typically arising when a larger tract is divided and one resulting lot loses its access as a result of the division. It is not an easement in gross because the right would be tied to the landlocked parcel itself (making it appurtenant in nature), not to a person. It is also not a prescriptive easement, since there has been no history of open and hostile use over time, and a license would be too weak and revocable to guarantee permanent legal access to an otherwise inaccessible lot.</w:t>
      </w:r>
    </w:p>
    <w:p>
      <w:pPr>
        <w:spacing w:after="80" w:before="220"/>
      </w:pPr>
      <w:r>
        <w:rPr>
          <w:rFonts w:ascii="Arial" w:cs="Arial" w:eastAsia="Arial" w:hAnsi="Arial"/>
          <w:b/>
          <w:bCs/>
          <w:color w:val="E5431F"/>
          <w:sz w:val="22"/>
          <w:szCs w:val="22"/>
        </w:rPr>
        <w:t xml:space="preserve">Q48.  </w:t>
      </w:r>
      <w:r>
        <w:rPr>
          <w:rFonts w:ascii="Arial" w:cs="Arial" w:eastAsia="Arial" w:hAnsi="Arial"/>
          <w:b/>
          <w:bCs/>
          <w:color w:val="16243E"/>
          <w:sz w:val="22"/>
          <w:szCs w:val="22"/>
        </w:rPr>
        <w:t xml:space="preserve">For 22 consecutive years, a neighbor has openly driven across a portion of an adjoining owner's land to reach his garage, without ever asking permission and without the owner ever objecting or granting formal consent. Assuming the applicable statutory period for this type of adverse use has already passed, what may the neighbor now be able to claim?</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Easement in gross</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Prescriptive easement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License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Easement appurtenant by grant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 prescriptive easement can arise when someone uses another's land in a manner that is open, notorious, continuous, and adverse (without the owner's permission) for the length of the state's statutory period, which is exactly what is described here. It is not a license because a license is based on permission, and this use was never authorized and was in fact adverse to the owner's rights. It is also not an easement in gross or an easement appurtenant by grant, since neither of those requires a history of adverse use — a grant would instead come from a voluntary written conveyance by the landowner, which never happened.</w:t>
      </w:r>
    </w:p>
    <w:p>
      <w:pPr>
        <w:spacing w:after="80" w:before="220"/>
      </w:pPr>
      <w:r>
        <w:rPr>
          <w:rFonts w:ascii="Arial" w:cs="Arial" w:eastAsia="Arial" w:hAnsi="Arial"/>
          <w:b/>
          <w:bCs/>
          <w:color w:val="E5431F"/>
          <w:sz w:val="22"/>
          <w:szCs w:val="22"/>
        </w:rPr>
        <w:t xml:space="preserve">Q49.  </w:t>
      </w:r>
      <w:r>
        <w:rPr>
          <w:rFonts w:ascii="Arial" w:cs="Arial" w:eastAsia="Arial" w:hAnsi="Arial"/>
          <w:b/>
          <w:bCs/>
          <w:color w:val="16243E"/>
          <w:sz w:val="22"/>
          <w:szCs w:val="22"/>
        </w:rPr>
        <w:t xml:space="preserve">A new boundary survey reveals that a homeowner's detached garage physically extends 18 inches over the property line onto the neighboring lot. This situation is best described as:</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An encroachment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A license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 prescriptive easement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An easement in gross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An encroachment occurs when a structure, fence, driveway, or other improvement physically crosses over a boundary line onto a neighboring property, which is exactly the situation the survey uncovered. This is not automatically a prescriptive easement, because that legal right must actually be established through the required elements of open, continuous, and adverse use for the statutory period; a recent survey discovery alone does not create one. A license or easement in gross would require some form of permission or grant of rights between the parties, and nothing in the facts suggests either party has agreed to anything — the garage is simply built in the wrong place.</w:t>
      </w:r>
    </w:p>
    <w:p>
      <w:pPr>
        <w:spacing w:after="80" w:before="220"/>
      </w:pPr>
      <w:r>
        <w:rPr>
          <w:rFonts w:ascii="Arial" w:cs="Arial" w:eastAsia="Arial" w:hAnsi="Arial"/>
          <w:b/>
          <w:bCs/>
          <w:color w:val="E5431F"/>
          <w:sz w:val="22"/>
          <w:szCs w:val="22"/>
        </w:rPr>
        <w:t xml:space="preserve">Q50.  </w:t>
      </w:r>
      <w:r>
        <w:rPr>
          <w:rFonts w:ascii="Arial" w:cs="Arial" w:eastAsia="Arial" w:hAnsi="Arial"/>
          <w:b/>
          <w:bCs/>
          <w:color w:val="16243E"/>
          <w:sz w:val="22"/>
          <w:szCs w:val="22"/>
        </w:rPr>
        <w:t xml:space="preserve">A homeowner gives her neighbor casual, informal permission to park his boat in her side yard for the summer, with the clear understanding that she can take back that permission at any time for any reason. This arrangement is best classified as: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An easement by necessity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An easement appurtenant</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A license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 prescriptive easement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 license is a personal, revocable permission to use someone else's land for a specific purpose, and it does not create a lasting property interest or run with the land, which matches this informal, take-back-anytime arrangement perfectly. It cannot be an easement appurtenant because there is no dominant and servient estate involved and no intent to create a permanent right tied to the land. It is also not an easement by necessity, since there is no landlocked parcel needing access, and it is not a prescriptive easement because the use is expressly permissive rather than adverse.</w:t>
      </w:r>
    </w:p>
    <w:p>
      <w:pPr>
        <w:spacing w:after="80" w:before="220"/>
      </w:pPr>
      <w:r>
        <w:rPr>
          <w:rFonts w:ascii="Arial" w:cs="Arial" w:eastAsia="Arial" w:hAnsi="Arial"/>
          <w:b/>
          <w:bCs/>
          <w:color w:val="E5431F"/>
          <w:sz w:val="22"/>
          <w:szCs w:val="22"/>
        </w:rPr>
        <w:t xml:space="preserve">Q51.  </w:t>
      </w:r>
      <w:r>
        <w:rPr>
          <w:rFonts w:ascii="Arial" w:cs="Arial" w:eastAsia="Arial" w:hAnsi="Arial"/>
          <w:b/>
          <w:bCs/>
          <w:color w:val="16243E"/>
          <w:sz w:val="22"/>
          <w:szCs w:val="22"/>
        </w:rPr>
        <w:t xml:space="preserve">A licensed contractor completes framing work on a home renovation but is never paid by the owner for labor and materials. To secure payment, the contractor files a claim directly against the specific property where the work was performed. This is an example of a:</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Ad valorem tax lien</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General lien</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Judgment lien</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Mechanic's (materialman's) lien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A mechanic's or materialman's lien is a specific lien that attaches only to the particular property that was improved, giving contractors, subcontractors, and suppliers a way to secure payment for unpaid labor or materials; its priority is often measured from the date work visibly began or materials were first furnished on the site, which can make it superior to later-recorded liens. A judgment lien is incorrect here because that arises from a court judgment in an unrelated lawsuit and is typically a general lien attaching to all of the debtor's property, not just one parcel. An ad valorem tax lien is also incorrect because that results from unpaid property taxes rather than unpaid construction costs.</w:t>
      </w:r>
    </w:p>
    <w:p>
      <w:pPr>
        <w:spacing w:after="80" w:before="220"/>
      </w:pPr>
      <w:r>
        <w:rPr>
          <w:rFonts w:ascii="Arial" w:cs="Arial" w:eastAsia="Arial" w:hAnsi="Arial"/>
          <w:b/>
          <w:bCs/>
          <w:color w:val="E5431F"/>
          <w:sz w:val="22"/>
          <w:szCs w:val="22"/>
        </w:rPr>
        <w:t xml:space="preserve">Q52.  </w:t>
      </w:r>
      <w:r>
        <w:rPr>
          <w:rFonts w:ascii="Arial" w:cs="Arial" w:eastAsia="Arial" w:hAnsi="Arial"/>
          <w:b/>
          <w:bCs/>
          <w:color w:val="16243E"/>
          <w:sz w:val="22"/>
          <w:szCs w:val="22"/>
        </w:rPr>
        <w:t xml:space="preserve">A property has both a recorded first mortgage from several years ago and a more recent unpaid property tax bill. If the property is sold to satisfy outstanding liens, which lien is generally paid first, ahead of the earlier-recorded mortgage?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 mechanic's lien filed after the mortgage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mortgage lien, because it was recorded first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 judgment lien from an unrelated lawsuit</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The property tax lien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Property tax liens are generally given superpriority status, meaning they are typically paid ahead of other liens on the property regardless of when those other liens were recorded, because governments need a reliable way to collect the taxes that fund public services. This is a key exception to the usual "first in time, first in right" priority rule that normally governs liens like mortgages and mechanic's liens. The mortgage, despite being recorded earlier, does not automatically outrank the tax lien, and a judgment lien (a general lien against all of the debtor's assets) would rank behind both the tax lien and the properly recorded mortgage in most cases.</w:t>
      </w:r>
    </w:p>
    <w:p>
      <w:pPr>
        <w:spacing w:after="80" w:before="220"/>
      </w:pPr>
      <w:r>
        <w:rPr>
          <w:rFonts w:ascii="Arial" w:cs="Arial" w:eastAsia="Arial" w:hAnsi="Arial"/>
          <w:b/>
          <w:bCs/>
          <w:color w:val="E5431F"/>
          <w:sz w:val="22"/>
          <w:szCs w:val="22"/>
        </w:rPr>
        <w:t xml:space="preserve">Q53.  </w:t>
      </w:r>
      <w:r>
        <w:rPr>
          <w:rFonts w:ascii="Arial" w:cs="Arial" w:eastAsia="Arial" w:hAnsi="Arial"/>
          <w:b/>
          <w:bCs/>
          <w:color w:val="16243E"/>
          <w:sz w:val="22"/>
          <w:szCs w:val="22"/>
        </w:rPr>
        <w:t xml:space="preserve">Georgia generally follows the doctrine of caveat emptor, meaning buyers are expected to inspect and evaluate a property for themselves before purchasing. However, this doctrine does NOT protect a seller who:</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Fails to disclose a known, material latent defect, such as a hidden foundation crack causing ongoing structural problems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Prices the home above recent comparable sales in the neighborhood</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Declines to point out an obviously sagging porch roof that any buyer can see during a walkthrough</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Declines to make repairs a buyer requests before closing</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Caveat emptor has well-established exceptions for known material defects that are latent, meaning hidden and not discoverable through a buyer's reasonable inspection, as well as for active fraud or misrepresentation; a seller who knowingly hides something like a serious foundation problem can be held liable despite the general "buyer beware" rule. Option C describes a patent defect, one that is visible and obvious during a normal walkthrough, so caveat emptor still places the burden of noticing it on the buyer. Pricing decisions and a seller's refusal to negotiate repairs are ordinary business terms of the deal and have nothing to do with disclosure duties or fraud.</w:t>
      </w:r>
    </w:p>
    <w:p>
      <w:pPr>
        <w:spacing w:after="80" w:before="220"/>
      </w:pPr>
      <w:r>
        <w:rPr>
          <w:rFonts w:ascii="Arial" w:cs="Arial" w:eastAsia="Arial" w:hAnsi="Arial"/>
          <w:b/>
          <w:bCs/>
          <w:color w:val="E5431F"/>
          <w:sz w:val="22"/>
          <w:szCs w:val="22"/>
        </w:rPr>
        <w:t xml:space="preserve">Q54.  </w:t>
      </w:r>
      <w:r>
        <w:rPr>
          <w:rFonts w:ascii="Arial" w:cs="Arial" w:eastAsia="Arial" w:hAnsi="Arial"/>
          <w:b/>
          <w:bCs/>
          <w:color w:val="16243E"/>
          <w:sz w:val="22"/>
          <w:szCs w:val="22"/>
        </w:rPr>
        <w:t xml:space="preserve">A seller is preparing to list a home built in 1965. Which combination of disclosure practices most accurately reflects standard Georgia real estate practice together with federal law?</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Only the federal Lead-Based Paint disclosure applies, since Georgia has no customary seller disclosure practice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Lead-Based Paint disclosure is optional because the home is a resale rather than new construction</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The seller may complete a customary Seller's Property Disclosure Statement, and because the home was built before 1978, a federal Lead-Based Paint disclosure and informational pamphlet are also required</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Neither disclosure applies because Georgia is a caveat emptor state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In Georgia, sellers customarily complete a Seller's Property Disclosure Statement addressing known conditions of the property, and separately, federal law requires that sellers of housing built before 1978 provide buyers with a Lead-Based Paint disclosure form along with the EPA-approved lead hazard information pamphlet and an opportunity to conduct a lead-based paint inspection, since a 1965 home falls squarely within that pre-1978 window. Option D is a common misconception: even though Georgia applies caveat emptor generally, that doctrine does not override a federally mandated disclosure or the seller's duty to disclose known material defects and avoid fraud. The Lead-Based Paint disclosure requirement is not limited to new construction and is not optional for a qualifying resale — age of the housing, not its transaction type, is what triggers the requirement.</w:t>
      </w:r>
    </w:p>
    <w:p>
      <w:pPr>
        <w:pStyle w:val="Heading1"/>
        <w:pBdr>
          <w:bottom w:val="single" w:color="E5431F" w:sz="12" w:space="4"/>
        </w:pBdr>
        <w:spacing w:after="200" w:before="400"/>
      </w:pPr>
      <w:r>
        <w:rPr>
          <w:rFonts w:ascii="Arial" w:cs="Arial" w:eastAsia="Arial" w:hAnsi="Arial"/>
          <w:b/>
          <w:bCs/>
          <w:color w:val="16243E"/>
          <w:sz w:val="28"/>
          <w:szCs w:val="28"/>
        </w:rPr>
        <w:t xml:space="preserve">Valuation &amp; Appraisal  (Questions 55–64)</w:t>
      </w:r>
    </w:p>
    <w:p>
      <w:pPr>
        <w:spacing w:after="80" w:before="220"/>
      </w:pPr>
      <w:r>
        <w:rPr>
          <w:rFonts w:ascii="Arial" w:cs="Arial" w:eastAsia="Arial" w:hAnsi="Arial"/>
          <w:b/>
          <w:bCs/>
          <w:color w:val="E5431F"/>
          <w:sz w:val="22"/>
          <w:szCs w:val="22"/>
        </w:rPr>
        <w:t xml:space="preserve">Q55.  </w:t>
      </w:r>
      <w:r>
        <w:rPr>
          <w:rFonts w:ascii="Arial" w:cs="Arial" w:eastAsia="Arial" w:hAnsi="Arial"/>
          <w:b/>
          <w:bCs/>
          <w:color w:val="16243E"/>
          <w:sz w:val="22"/>
          <w:szCs w:val="22"/>
        </w:rPr>
        <w:t xml:space="preserve">Which of the following properties would the sales comparison approach be MOST appropriate for valuing?</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A typical single-family home in a subdivision with many recent nearby sales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A newly built church with no comparable sales in the area</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 specialized manufacturing plant with unique, purpose-built features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 200-unit apartment complex valued primarily on its rental income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The sales comparison approach works best when there is an active market with plenty of similar, recently sold properties to compare against the subject property, which is exactly the case for a typical single-family home in a subdivision. Appraisers adjust the sale prices of these comparable homes for differences in features, condition, and location to arrive at an indicated value for the subject property. The other choices are poor fits because a new church, an income-producing apartment complex, and a unique manufacturing plant all lack the kind of abundant, truly comparable sales data this approach requires. For those property types, appraisers typically lean on the cost approach or the income capitalization approach instead.</w:t>
      </w:r>
    </w:p>
    <w:p>
      <w:pPr>
        <w:spacing w:after="80" w:before="220"/>
      </w:pPr>
      <w:r>
        <w:rPr>
          <w:rFonts w:ascii="Arial" w:cs="Arial" w:eastAsia="Arial" w:hAnsi="Arial"/>
          <w:b/>
          <w:bCs/>
          <w:color w:val="E5431F"/>
          <w:sz w:val="22"/>
          <w:szCs w:val="22"/>
        </w:rPr>
        <w:t xml:space="preserve">Q56.  </w:t>
      </w:r>
      <w:r>
        <w:rPr>
          <w:rFonts w:ascii="Arial" w:cs="Arial" w:eastAsia="Arial" w:hAnsi="Arial"/>
          <w:b/>
          <w:bCs/>
          <w:color w:val="16243E"/>
          <w:sz w:val="22"/>
          <w:szCs w:val="22"/>
        </w:rPr>
        <w:t xml:space="preserve">An appraiser is valuing a 50-unit apartment building that generates steady monthly rental income. Which approach to value would be MOST appropriate as the primary method?</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An owner-occupied single-family residence approach based on curb appeal</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The income capitalization approach</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 vacant lot comparison with no income history</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 historic landmark approach with no comparable sales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The income capitalization approach is designed for income-producing properties like apartment buildings, because investors buying such properties care most about the income stream the property can generate. This approach converts the property's net operating income into an indicated value using a capitalization rate, reflecting how investors actually think about pricing rental real estate. A single-family owner-occupant approach or a vacant-lot comparison would ignore the very feature that drives an apartment building's value: its rental income. Because the building's worth is tied directly to its earning power, income capitalization gives the most reliable and relevant estimate of value here.</w:t>
      </w:r>
    </w:p>
    <w:p>
      <w:pPr>
        <w:spacing w:after="80" w:before="220"/>
      </w:pPr>
      <w:r>
        <w:rPr>
          <w:rFonts w:ascii="Arial" w:cs="Arial" w:eastAsia="Arial" w:hAnsi="Arial"/>
          <w:b/>
          <w:bCs/>
          <w:color w:val="E5431F"/>
          <w:sz w:val="22"/>
          <w:szCs w:val="22"/>
        </w:rPr>
        <w:t xml:space="preserve">Q57.  </w:t>
      </w:r>
      <w:r>
        <w:rPr>
          <w:rFonts w:ascii="Arial" w:cs="Arial" w:eastAsia="Arial" w:hAnsi="Arial"/>
          <w:b/>
          <w:bCs/>
          <w:color w:val="16243E"/>
          <w:sz w:val="22"/>
          <w:szCs w:val="22"/>
        </w:rPr>
        <w:t xml:space="preserve">The cost approach to value is generally MOST useful when appraising which type of property?</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 retail shopping center valued primarily on its net operating income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A single-family home in a well-established neighborhood with abundant recent sales</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A newly constructed special-purpose building, such as a school, where comparable sales and income data are scarce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 condominium in a large development with many recent comparable sales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The cost approach estimates value by calculating the cost to reproduce or replace the improvements, subtracting depreciation, and adding the land value, which is most useful when there are few or no comparable sales and little income data to rely on, such as with a new special-purpose building like a school or church. Because these properties are rarely bought and sold on the open market, the sales comparison approach falls short, and because they typically are not built to generate rental income, the income approach is not a natural fit either. A condominium with plentiful sales data or a home in an established neighborhood is better valued using the sales comparison approach, while an income-producing shopping center is better valued using income capitalization. This is why the cost approach shines specifically for unique, newer, or special-purpose properties.</w:t>
      </w:r>
    </w:p>
    <w:p>
      <w:pPr>
        <w:spacing w:after="80" w:before="220"/>
      </w:pPr>
      <w:r>
        <w:rPr>
          <w:rFonts w:ascii="Arial" w:cs="Arial" w:eastAsia="Arial" w:hAnsi="Arial"/>
          <w:b/>
          <w:bCs/>
          <w:color w:val="E5431F"/>
          <w:sz w:val="22"/>
          <w:szCs w:val="22"/>
        </w:rPr>
        <w:t xml:space="preserve">Q58.  </w:t>
      </w:r>
      <w:r>
        <w:rPr>
          <w:rFonts w:ascii="Arial" w:cs="Arial" w:eastAsia="Arial" w:hAnsi="Arial"/>
          <w:b/>
          <w:bCs/>
          <w:color w:val="16243E"/>
          <w:sz w:val="22"/>
          <w:szCs w:val="22"/>
        </w:rPr>
        <w:t xml:space="preserve">A buyer refuses to pay more for a house than the cost of purchasing an equally desirable and available substitute property. This behavior illustrates which appraisal principle?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Principle of anticipation</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Principle of contribution</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Principle of conformity</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Principle of substitution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The principle of substitution states that a rational buyer will not pay more for a property than the cost of acquiring an equally desirable and available substitute, and it is the foundational logic behind the sales comparison approach. This principle explains why appraisers look at what similar properties have recently sold for, since buyers are assumed to shop around and compare alternatives before settling on a price. The principle of contribution instead measures how much a specific improvement adds to overall value, conformity relates to how similar properties in a neighborhood support value, and anticipation deals with value based on expected future benefits. Because the scenario describes comparing a property's price to alternatives, substitution is the correct concept being tested.</w:t>
      </w:r>
    </w:p>
    <w:p>
      <w:pPr>
        <w:spacing w:after="80" w:before="220"/>
      </w:pPr>
      <w:r>
        <w:rPr>
          <w:rFonts w:ascii="Arial" w:cs="Arial" w:eastAsia="Arial" w:hAnsi="Arial"/>
          <w:b/>
          <w:bCs/>
          <w:color w:val="E5431F"/>
          <w:sz w:val="22"/>
          <w:szCs w:val="22"/>
        </w:rPr>
        <w:t xml:space="preserve">Q59.  </w:t>
      </w:r>
      <w:r>
        <w:rPr>
          <w:rFonts w:ascii="Arial" w:cs="Arial" w:eastAsia="Arial" w:hAnsi="Arial"/>
          <w:b/>
          <w:bCs/>
          <w:color w:val="16243E"/>
          <w:sz w:val="22"/>
          <w:szCs w:val="22"/>
        </w:rPr>
        <w:t xml:space="preserve">A vacant parcel of land could be developed as either a small retail store or a duplex. Determining which use is legally permissible, physically possible, financially feasible, and maximally productive is the process of identifying the property's: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Contributory value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Market value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Assessed value</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Highest and best use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Highest and best use is defined as the reasonably probable and legal use of vacant land or an improved property that is physically possible, appropriately supported, financially feasible, and results in the highest value, and appraisers must identify this use before completing a credible appraisal. In this scenario, the appraiser would compare the retail store option and the duplex option against all four tests to see which one truly maximizes the land's value and use. Contributory value refers to how much a single component adds to the whole, not to choosing between overall uses, and market value and assessed value are end results of the valuation process rather than the analysis used to get there. Because the question asks about weighing possible uses against legal, physical, financial, and productivity criteria, highest and best use is the concept being described.</w:t>
      </w:r>
    </w:p>
    <w:p>
      <w:pPr>
        <w:spacing w:after="80" w:before="220"/>
      </w:pPr>
      <w:r>
        <w:rPr>
          <w:rFonts w:ascii="Arial" w:cs="Arial" w:eastAsia="Arial" w:hAnsi="Arial"/>
          <w:b/>
          <w:bCs/>
          <w:color w:val="E5431F"/>
          <w:sz w:val="22"/>
          <w:szCs w:val="22"/>
        </w:rPr>
        <w:t xml:space="preserve">Q60.  </w:t>
      </w:r>
      <w:r>
        <w:rPr>
          <w:rFonts w:ascii="Arial" w:cs="Arial" w:eastAsia="Arial" w:hAnsi="Arial"/>
          <w:b/>
          <w:bCs/>
          <w:color w:val="16243E"/>
          <w:sz w:val="22"/>
          <w:szCs w:val="22"/>
        </w:rPr>
        <w:t xml:space="preserve">During an appraisal, the appraiser notes that a home's roof shingles are worn, curling, and cracked simply due to age and weather exposure, and will need replacement. In the cost approach, this loss in value is classified as:</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Physical deterioration</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External obsolescence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Functional obsolescence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Economic obsolescence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Physical deterioration refers to a loss in value caused by ordinary wear and tear, age, and the elements, such as a worn-out roof, peeling paint, or a failing HVAC system, and it is typically curable through routine repair or replacement. This differs from functional obsolescence, which involves outdated design or features within the property itself, such as an awkward floor plan or too few bathrooms for the home's size. It also differs from external (economic) obsolescence, which stems from negative influences outside the property's boundaries, like nearby noise or incompatible land uses, and which the property owner generally cannot cure. Since the roof's condition is a physical, age-related defect confined to the structure, physical deterioration is the correct classification.</w:t>
      </w:r>
    </w:p>
    <w:p>
      <w:pPr>
        <w:spacing w:after="80" w:before="220"/>
      </w:pPr>
      <w:r>
        <w:rPr>
          <w:rFonts w:ascii="Arial" w:cs="Arial" w:eastAsia="Arial" w:hAnsi="Arial"/>
          <w:b/>
          <w:bCs/>
          <w:color w:val="E5431F"/>
          <w:sz w:val="22"/>
          <w:szCs w:val="22"/>
        </w:rPr>
        <w:t xml:space="preserve">Q61.  </w:t>
      </w:r>
      <w:r>
        <w:rPr>
          <w:rFonts w:ascii="Arial" w:cs="Arial" w:eastAsia="Arial" w:hAnsi="Arial"/>
          <w:b/>
          <w:bCs/>
          <w:color w:val="16243E"/>
          <w:sz w:val="22"/>
          <w:szCs w:val="22"/>
        </w:rPr>
        <w:t xml:space="preserve">A well-maintained, modern home is located directly across the street from a newly built, noisy factory. Even though the home itself is in excellent condition with an up-to-date floor plan, its value has declined because of the factory's presence. This type of value loss is known as: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Functional obsolescence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Deferred maintenance</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External (economic) obsolescence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Physical deterioration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External obsolescence, also called economic obsolescence, is a loss in value caused by negative factors outside the property's boundaries, such as a nearby factory, busy highway, or declining neighborhood, and it is generally considered incurable by the property owner since they cannot control off-site conditions. Because the home itself is described as well-maintained with a modern floor plan, physical deterioration and functional obsolescence can be ruled out, since those relate to the condition and design of the structure itself. Deferred maintenance is simply a form of curable physical deterioration from postponed repairs, which also does not match this scenario. Since the cause of the value loss originates entirely off the property, from the neighboring factory, external obsolescence is the correct answer.</w:t>
      </w:r>
    </w:p>
    <w:p>
      <w:pPr>
        <w:spacing w:after="80" w:before="220"/>
      </w:pPr>
      <w:r>
        <w:rPr>
          <w:rFonts w:ascii="Arial" w:cs="Arial" w:eastAsia="Arial" w:hAnsi="Arial"/>
          <w:b/>
          <w:bCs/>
          <w:color w:val="E5431F"/>
          <w:sz w:val="22"/>
          <w:szCs w:val="22"/>
        </w:rPr>
        <w:t xml:space="preserve">Q62.  </w:t>
      </w:r>
      <w:r>
        <w:rPr>
          <w:rFonts w:ascii="Arial" w:cs="Arial" w:eastAsia="Arial" w:hAnsi="Arial"/>
          <w:b/>
          <w:bCs/>
          <w:color w:val="16243E"/>
          <w:sz w:val="22"/>
          <w:szCs w:val="22"/>
        </w:rPr>
        <w:t xml:space="preserve">A rental property recently sold for $240,000, and it rents for $2,000 per month. What is the property's gross rent multiplier (GRM)?</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12</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120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100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1,200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The gross rent multiplier is calculated by dividing the sale price by the monthly rental income, using the formula GRM = Sale Price ÷ Monthly Rent. Plugging in the numbers here gives $240,000 ÷ $2,000, which equals 120. This means a buyer is effectively paying 120 times the property's monthly rent to purchase it, and appraisers and investors use this figure to quickly compare similar rental properties in the same market. Since $240,000 divided by $2,000 comes out to exactly 120, option B is the correct GRM.</w:t>
      </w:r>
    </w:p>
    <w:p>
      <w:pPr>
        <w:spacing w:after="80" w:before="220"/>
      </w:pPr>
      <w:r>
        <w:rPr>
          <w:rFonts w:ascii="Arial" w:cs="Arial" w:eastAsia="Arial" w:hAnsi="Arial"/>
          <w:b/>
          <w:bCs/>
          <w:color w:val="E5431F"/>
          <w:sz w:val="22"/>
          <w:szCs w:val="22"/>
        </w:rPr>
        <w:t xml:space="preserve">Q63.  </w:t>
      </w:r>
      <w:r>
        <w:rPr>
          <w:rFonts w:ascii="Arial" w:cs="Arial" w:eastAsia="Arial" w:hAnsi="Arial"/>
          <w:b/>
          <w:bCs/>
          <w:color w:val="16243E"/>
          <w:sz w:val="22"/>
          <w:szCs w:val="22"/>
        </w:rPr>
        <w:t xml:space="preserve">An income-producing property has an annual net operating income (NOI) of $42,000 and a current market value of $350,000. What is the property's capitalization rate?</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12%</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14%</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8%</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The capitalization rate is found using the formula Cap Rate = Net Operating Income ÷ Value, so here the calculation is $42,000 ÷ $350,000, which equals 0.12, or 12%. The cap rate expresses the rate of return an investor would expect on the property based on its income relative to its value, and it is a core tool of the income capitalization approach. A higher cap rate generally signals higher perceived risk or a lower purchase price relative to income, while a lower cap rate suggests a more stable or desirable investment. Since $42,000 divided by $350,000 works out precisely to 12%, option A is the correct capitalization rate.</w:t>
      </w:r>
    </w:p>
    <w:p>
      <w:pPr>
        <w:spacing w:after="80" w:before="220"/>
      </w:pPr>
      <w:r>
        <w:rPr>
          <w:rFonts w:ascii="Arial" w:cs="Arial" w:eastAsia="Arial" w:hAnsi="Arial"/>
          <w:b/>
          <w:bCs/>
          <w:color w:val="E5431F"/>
          <w:sz w:val="22"/>
          <w:szCs w:val="22"/>
        </w:rPr>
        <w:t xml:space="preserve">Q64.  </w:t>
      </w:r>
      <w:r>
        <w:rPr>
          <w:rFonts w:ascii="Arial" w:cs="Arial" w:eastAsia="Arial" w:hAnsi="Arial"/>
          <w:b/>
          <w:bCs/>
          <w:color w:val="16243E"/>
          <w:sz w:val="22"/>
          <w:szCs w:val="22"/>
        </w:rPr>
        <w:t xml:space="preserve">Which statement best describes the difference between a licensed appraiser's appraisal and a real estate licensee's Comparative Market Analysis (CMA)?</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 CMA and an appraisal are identical in purpose, methodology, and legal weight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A CMA is a formal, legally binding appraisal that lenders must accept for all mortgage transactions</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An appraisal is prepared by a licensed or certified appraiser following professional appraisal standards and is typically required for federally related mortgage transactions, while a CMA is prepared by a real estate licensee to help estimate a reasonable listing or offer price and is not a substitute for a formal appraisal</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Only a real estate licensee, not a licensed appraiser, may determine a property's market value for lending purposes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 formal appraisal must be completed by a state-licensed or certified appraiser following recognized professional standards, and lenders typically require one for federally related mortgage transactions to independently verify a property's market value. A CMA, by contrast, is prepared by a real estate licensee using recent comparable sales, active listings, and market trends to help a seller set a listing price or help a buyer decide on an offer, but it is not performed under formal appraisal standards and is not accepted as a substitute for a lender-required appraisal. This distinction matters because licensees who are not certified appraisers must be careful not to represent a CMA as an official appraisal, since doing so could violate licensing law. Because option C accurately captures both the purpose and the legal limits of each tool, it is the correct choice.</w:t>
      </w:r>
    </w:p>
    <w:p>
      <w:pPr>
        <w:pStyle w:val="Heading1"/>
        <w:pBdr>
          <w:bottom w:val="single" w:color="E5431F" w:sz="12" w:space="4"/>
        </w:pBdr>
        <w:spacing w:after="200" w:before="400"/>
      </w:pPr>
      <w:r>
        <w:rPr>
          <w:rFonts w:ascii="Arial" w:cs="Arial" w:eastAsia="Arial" w:hAnsi="Arial"/>
          <w:b/>
          <w:bCs/>
          <w:color w:val="16243E"/>
          <w:sz w:val="28"/>
          <w:szCs w:val="28"/>
        </w:rPr>
        <w:t xml:space="preserve">Legal Descriptions  (Questions 65–74)</w:t>
      </w:r>
    </w:p>
    <w:p>
      <w:pPr>
        <w:spacing w:after="80" w:before="220"/>
      </w:pPr>
      <w:r>
        <w:rPr>
          <w:rFonts w:ascii="Arial" w:cs="Arial" w:eastAsia="Arial" w:hAnsi="Arial"/>
          <w:b/>
          <w:bCs/>
          <w:color w:val="E5431F"/>
          <w:sz w:val="22"/>
          <w:szCs w:val="22"/>
        </w:rPr>
        <w:t xml:space="preserve">Q65.  </w:t>
      </w:r>
      <w:r>
        <w:rPr>
          <w:rFonts w:ascii="Arial" w:cs="Arial" w:eastAsia="Arial" w:hAnsi="Arial"/>
          <w:b/>
          <w:bCs/>
          <w:color w:val="16243E"/>
          <w:sz w:val="22"/>
          <w:szCs w:val="22"/>
        </w:rPr>
        <w:t xml:space="preserve">In a metes and bounds legal description, the boundary survey must both start and end at which reference point?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 monument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A principal meridian</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 benchmark</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The point of beginning (POB)</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The point of beginning, or POB, is the fixed starting location for a metes and bounds survey, and the description must trace the boundary using a series of courses (directions) and distances until it returns exactly to that same POB, closing the legal description. If the survey fails to close back on the point of beginning, the description is considered defective because the boundary does not form a complete, enclosed shape. Monuments, benchmarks, and principal meridians are all real surveying concepts, but none of them describes the required start-and-end point of a metes and bounds description, which makes POB the only correct answer here.</w:t>
      </w:r>
    </w:p>
    <w:p>
      <w:pPr>
        <w:spacing w:after="80" w:before="220"/>
      </w:pPr>
      <w:r>
        <w:rPr>
          <w:rFonts w:ascii="Arial" w:cs="Arial" w:eastAsia="Arial" w:hAnsi="Arial"/>
          <w:b/>
          <w:bCs/>
          <w:color w:val="E5431F"/>
          <w:sz w:val="22"/>
          <w:szCs w:val="22"/>
        </w:rPr>
        <w:t xml:space="preserve">Q66.  </w:t>
      </w:r>
      <w:r>
        <w:rPr>
          <w:rFonts w:ascii="Arial" w:cs="Arial" w:eastAsia="Arial" w:hAnsi="Arial"/>
          <w:b/>
          <w:bCs/>
          <w:color w:val="16243E"/>
          <w:sz w:val="22"/>
          <w:szCs w:val="22"/>
        </w:rPr>
        <w:t xml:space="preserve">In a metes and bounds description, natural or artificial objects such as a large oak tree, a creek, an iron pin, or a stone wall that mark the corners or turning points of the boundary are called what?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Base lines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Meridians</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Monuments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Datums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Monuments are the physical objects, natural or artificial, that a surveyor uses to mark the corners and angle points along a metes and bounds boundary, and they serve as tangible evidence of exactly where each course and distance measurement begins and ends. Natural monuments include things like rivers, large trees, or boulders, while artificial monuments include surveyor stakes, iron pins, and concrete markers deliberately placed to fix a corner. Datums and meridians relate to elevation and to the rectangular survey system respectively, and base lines are the east-west reference lines used in the government survey system, so none of those three terms fits the description of a physical boundary marker the way monuments does.</w:t>
      </w:r>
    </w:p>
    <w:p>
      <w:pPr>
        <w:spacing w:after="80" w:before="220"/>
      </w:pPr>
      <w:r>
        <w:rPr>
          <w:rFonts w:ascii="Arial" w:cs="Arial" w:eastAsia="Arial" w:hAnsi="Arial"/>
          <w:b/>
          <w:bCs/>
          <w:color w:val="E5431F"/>
          <w:sz w:val="22"/>
          <w:szCs w:val="22"/>
        </w:rPr>
        <w:t xml:space="preserve">Q67.  </w:t>
      </w:r>
      <w:r>
        <w:rPr>
          <w:rFonts w:ascii="Arial" w:cs="Arial" w:eastAsia="Arial" w:hAnsi="Arial"/>
          <w:b/>
          <w:bCs/>
          <w:color w:val="16243E"/>
          <w:sz w:val="22"/>
          <w:szCs w:val="22"/>
        </w:rPr>
        <w:t xml:space="preserve">Which method of legal description is most commonly used to identify property in Georgia, particularly for lots within a recorded subdivision?</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Lot-and-block (recorded plat) method</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Street address method</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Metes and bounds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Rectangular (government) survey system</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The lot-and-block method, also called the recorded plat method, is the most widely used method of legal description in Georgia, especially for properties located in platted subdivisions, because a surveyor has already prepared a detailed plat map that is filed in the county's plat records showing each numbered lot within a numbered block. A legal description using this method simply references the lot number, block number, subdivision name, and the specific plat book and page where that map is recorded, which makes it quick and precise for describing subdivided residential property. Metes and bounds is still used in Georgia for irregular or unplatted parcels, but it is more cumbersome than lot-and-block, the rectangular survey system is essentially not used in Georgia at all, and a street address is never considered a legally sufficient description on its own.</w:t>
      </w:r>
    </w:p>
    <w:p>
      <w:pPr>
        <w:spacing w:after="80" w:before="220"/>
      </w:pPr>
      <w:r>
        <w:rPr>
          <w:rFonts w:ascii="Arial" w:cs="Arial" w:eastAsia="Arial" w:hAnsi="Arial"/>
          <w:b/>
          <w:bCs/>
          <w:color w:val="E5431F"/>
          <w:sz w:val="22"/>
          <w:szCs w:val="22"/>
        </w:rPr>
        <w:t xml:space="preserve">Q68.  </w:t>
      </w:r>
      <w:r>
        <w:rPr>
          <w:rFonts w:ascii="Arial" w:cs="Arial" w:eastAsia="Arial" w:hAnsi="Arial"/>
          <w:b/>
          <w:bCs/>
          <w:color w:val="16243E"/>
          <w:sz w:val="22"/>
          <w:szCs w:val="22"/>
        </w:rPr>
        <w:t xml:space="preserve">In the rectangular (government) survey system, which reference lines run in a north-south direction and are numbered east and west from a starting point?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Base lines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Township lines</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Principal meridians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Range lines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Principal meridians are the primary north-south reference lines in the rectangular survey system, and every other line in a given survey area, including range lines, is measured east or west relative to its principal meridian. Base lines, by contrast, run east-west and serve as the reference from which township lines are measured north or south, so a base line and a principal meridian together form the intersecting grid that anchors the entire survey system for a region. Range lines and township lines are the resulting grid lines drawn parallel to the meridian and base line respectively, but the principal meridian itself is the true north-south backbone of the system, which is why it is the correct answer.</w:t>
      </w:r>
    </w:p>
    <w:p>
      <w:pPr>
        <w:spacing w:after="80" w:before="220"/>
      </w:pPr>
      <w:r>
        <w:rPr>
          <w:rFonts w:ascii="Arial" w:cs="Arial" w:eastAsia="Arial" w:hAnsi="Arial"/>
          <w:b/>
          <w:bCs/>
          <w:color w:val="E5431F"/>
          <w:sz w:val="22"/>
          <w:szCs w:val="22"/>
        </w:rPr>
        <w:t xml:space="preserve">Q69.  </w:t>
      </w:r>
      <w:r>
        <w:rPr>
          <w:rFonts w:ascii="Arial" w:cs="Arial" w:eastAsia="Arial" w:hAnsi="Arial"/>
          <w:b/>
          <w:bCs/>
          <w:color w:val="16243E"/>
          <w:sz w:val="22"/>
          <w:szCs w:val="22"/>
        </w:rPr>
        <w:t xml:space="preserve">Under the rectangular (government) survey system, a standard township is a square parcel of land formed by intersecting range lines and township lines. What are its dimensions and how many sections does it contain?</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6 miles by 6 miles, containing 36 sections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1 mile by 1 mile, containing 6 sections</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3 miles by 3 miles, containing 9 sections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6 miles by 6 miles, containing 24 sections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A standard township measures 6 miles by 6 miles, giving it an area of 36 square miles, and it is subdivided into 36 numbered sections that are each 1 mile by 1 mile, or 1 square mile, in size. This grid of townships and sections is the foundation of the rectangular survey system, which is used across much of the United States but is generally not the method used to describe property within Georgia, since Georgia relies primarily on metes and bounds and lot-and-block descriptions instead. Even so, the salesperson exam tests the rectangular survey system as a national licensing topic, so it is important to remember the correct figures of 6 miles square and 36 sections rather than confusing them with smaller or differently numbered grids like the incorrect options offered here.</w:t>
      </w:r>
    </w:p>
    <w:p>
      <w:pPr>
        <w:spacing w:after="80" w:before="220"/>
      </w:pPr>
      <w:r>
        <w:rPr>
          <w:rFonts w:ascii="Arial" w:cs="Arial" w:eastAsia="Arial" w:hAnsi="Arial"/>
          <w:b/>
          <w:bCs/>
          <w:color w:val="E5431F"/>
          <w:sz w:val="22"/>
          <w:szCs w:val="22"/>
        </w:rPr>
        <w:t xml:space="preserve">Q70.  </w:t>
      </w:r>
      <w:r>
        <w:rPr>
          <w:rFonts w:ascii="Arial" w:cs="Arial" w:eastAsia="Arial" w:hAnsi="Arial"/>
          <w:b/>
          <w:bCs/>
          <w:color w:val="16243E"/>
          <w:sz w:val="22"/>
          <w:szCs w:val="22"/>
        </w:rPr>
        <w:t xml:space="preserve">A full section of land in the rectangular survey system contains 640 acres. How many acres are contained in a quarter section?</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160 acres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640 acres</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320 acres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40 acres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Since a full section contains 640 acres, dividing that section into quarters means dividing 640 by 4, which gives exactly 160 acres per quarter section. This kind of basic section math shows up regularly on the license exam, so it helps to memorize that a half section is 320 acres, a quarter section is 160 acres, and a quarter of a quarter section is 40 acres. Option B represents the whole section rather than a quarter of it, option C is actually a half section, and option D is a much smaller quarter-quarter section, so 160 acres is the only figure that correctly answers what a single quarter section contains.</w:t>
      </w:r>
    </w:p>
    <w:p>
      <w:pPr>
        <w:spacing w:after="80" w:before="220"/>
      </w:pPr>
      <w:r>
        <w:rPr>
          <w:rFonts w:ascii="Arial" w:cs="Arial" w:eastAsia="Arial" w:hAnsi="Arial"/>
          <w:b/>
          <w:bCs/>
          <w:color w:val="E5431F"/>
          <w:sz w:val="22"/>
          <w:szCs w:val="22"/>
        </w:rPr>
        <w:t xml:space="preserve">Q71.  </w:t>
      </w:r>
      <w:r>
        <w:rPr>
          <w:rFonts w:ascii="Arial" w:cs="Arial" w:eastAsia="Arial" w:hAnsi="Arial"/>
          <w:b/>
          <w:bCs/>
          <w:color w:val="16243E"/>
          <w:sz w:val="22"/>
          <w:szCs w:val="22"/>
        </w:rPr>
        <w:t xml:space="preserve">A section of land contains 640 acres. If a parcel is described as the northeast quarter of the northeast quarter of a section (a "quarter-quarter section"), how many acres does it contain?</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10 acres</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40 acres</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20 acres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80 acres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To find the size of a quarter-quarter section, you divide the full 640-acre section by 4 to get the first quarter, which equals 160 acres, and then divide that 160-acre quarter by 4 again to get the quarter of the quarter, which equals 40 acres. A helpful shortcut is to multiply the two denominators together, since a quarter of a quarter means dividing by 4 times 4, or 16, and 640 divided by 16 also equals 40 acres. Options A, C, and D would result from dividing incorrectly or stopping at the wrong step, so 40 acres is the only mathematically correct answer, and it is a number worth memorizing since quarter-quarter sections appear frequently in exam word problems.</w:t>
      </w:r>
    </w:p>
    <w:p>
      <w:pPr>
        <w:spacing w:after="80" w:before="220"/>
      </w:pPr>
      <w:r>
        <w:rPr>
          <w:rFonts w:ascii="Arial" w:cs="Arial" w:eastAsia="Arial" w:hAnsi="Arial"/>
          <w:b/>
          <w:bCs/>
          <w:color w:val="E5431F"/>
          <w:sz w:val="22"/>
          <w:szCs w:val="22"/>
        </w:rPr>
        <w:t xml:space="preserve">Q72.  </w:t>
      </w:r>
      <w:r>
        <w:rPr>
          <w:rFonts w:ascii="Arial" w:cs="Arial" w:eastAsia="Arial" w:hAnsi="Arial"/>
          <w:b/>
          <w:bCs/>
          <w:color w:val="16243E"/>
          <w:sz w:val="22"/>
          <w:szCs w:val="22"/>
        </w:rPr>
        <w:t xml:space="preserve">In surveying, a fixed, permanent marker of known and recorded elevation, used as a reference point for determining the elevation of other locations, is called a:</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Benchmark</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Meridian</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Plat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Monument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A benchmark is a permanent physical marker, often a brass disk or similar durable object set into rock or concrete, whose exact elevation above a known datum has been carefully surveyed and recorded, allowing surveyors to determine the elevation of nearby points by measuring relative to it. Benchmarks are especially important for legal descriptions that need to define elevation or airspace, such as descriptions of condominium units or property affected by flood zones. A monument marks a horizontal boundary corner rather than elevation, a meridian is a north-south reference line in the rectangular survey system, and a plat is a recorded map of a subdivision, so none of those three terms fits the definition of an elevation reference marker as precisely as benchmark does.</w:t>
      </w:r>
    </w:p>
    <w:p>
      <w:pPr>
        <w:spacing w:after="80" w:before="220"/>
      </w:pPr>
      <w:r>
        <w:rPr>
          <w:rFonts w:ascii="Arial" w:cs="Arial" w:eastAsia="Arial" w:hAnsi="Arial"/>
          <w:b/>
          <w:bCs/>
          <w:color w:val="E5431F"/>
          <w:sz w:val="22"/>
          <w:szCs w:val="22"/>
        </w:rPr>
        <w:t xml:space="preserve">Q73.  </w:t>
      </w:r>
      <w:r>
        <w:rPr>
          <w:rFonts w:ascii="Arial" w:cs="Arial" w:eastAsia="Arial" w:hAnsi="Arial"/>
          <w:b/>
          <w:bCs/>
          <w:color w:val="16243E"/>
          <w:sz w:val="22"/>
          <w:szCs w:val="22"/>
        </w:rPr>
        <w:t xml:space="preserve">Why is a street address, by itself, generally NOT considered a legally sufficient description of real property in a deed or contract?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Street addresses are assigned only by the post office and carry no legal weight whatsoever</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Street addresses can change over time and do not precisely or permanently define the exact boundaries of the land</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Street addresses apply only to rural property, not urban property</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Street addresses cannot legally appear anywhere on a deed</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 legally sufficient description must identify a parcel of land with certainty and permanence, but a street address is simply a convenient locator assigned for mail delivery and emergency services, and it can be changed, renumbered, or even reused without any corresponding change to the actual boundaries of the land. Because a street address does not state courses, distances, monuments, or a reference to a recorded plat, it fails to fix the precise legal boundaries of the property in the way a proper legal description does. Street addresses are commonly included in contracts and even in deeds as a convenient reference alongside the actual legal description, so option D overstates the issue, and option C is simply false since street addresses exist for both rural and urban property; the real problem is the lack of permanence and precision described in option B.</w:t>
      </w:r>
    </w:p>
    <w:p>
      <w:pPr>
        <w:spacing w:after="80" w:before="220"/>
      </w:pPr>
      <w:r>
        <w:rPr>
          <w:rFonts w:ascii="Arial" w:cs="Arial" w:eastAsia="Arial" w:hAnsi="Arial"/>
          <w:b/>
          <w:bCs/>
          <w:color w:val="E5431F"/>
          <w:sz w:val="22"/>
          <w:szCs w:val="22"/>
        </w:rPr>
        <w:t xml:space="preserve">Q74.  </w:t>
      </w:r>
      <w:r>
        <w:rPr>
          <w:rFonts w:ascii="Arial" w:cs="Arial" w:eastAsia="Arial" w:hAnsi="Arial"/>
          <w:b/>
          <w:bCs/>
          <w:color w:val="16243E"/>
          <w:sz w:val="22"/>
          <w:szCs w:val="22"/>
        </w:rPr>
        <w:t xml:space="preserve">What is a "datum" as the term is used in surveying and legal descriptions?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 recorded subdivision plat showing lots and blocks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A written legal description using courses and distances</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A standard reference point or level, such as mean sea level, from which elevations are measured</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point where a principal meridian and a base line intersect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 datum is an established, standardized reference level, most commonly mean sea level, that surveyors use as the zero point from which all elevations in a given area are measured and compared. Benchmarks, by contrast, are the physical markers placed on the ground whose known elevation is expressed relative to that datum, so the datum and the benchmark work together but are not the same thing. A recorded plat relates to the lot-and-block method, a written description using courses and distances describes metes and bounds, and the intersection of a principal meridian and base line is the starting reference point for the rectangular survey system, so none of those options correctly defines a datum the way option C does.</w:t>
      </w:r>
    </w:p>
    <w:p>
      <w:pPr>
        <w:pStyle w:val="Heading1"/>
        <w:pBdr>
          <w:bottom w:val="single" w:color="E5431F" w:sz="12" w:space="4"/>
        </w:pBdr>
        <w:spacing w:after="200" w:before="400"/>
      </w:pPr>
      <w:r>
        <w:rPr>
          <w:rFonts w:ascii="Arial" w:cs="Arial" w:eastAsia="Arial" w:hAnsi="Arial"/>
          <w:b/>
          <w:bCs/>
          <w:color w:val="16243E"/>
          <w:sz w:val="28"/>
          <w:szCs w:val="28"/>
        </w:rPr>
        <w:t xml:space="preserve">Title &amp; Recording  (Questions 75–84)</w:t>
      </w:r>
    </w:p>
    <w:p>
      <w:pPr>
        <w:spacing w:after="80" w:before="220"/>
      </w:pPr>
      <w:r>
        <w:rPr>
          <w:rFonts w:ascii="Arial" w:cs="Arial" w:eastAsia="Arial" w:hAnsi="Arial"/>
          <w:b/>
          <w:bCs/>
          <w:color w:val="E5431F"/>
          <w:sz w:val="22"/>
          <w:szCs w:val="22"/>
        </w:rPr>
        <w:t xml:space="preserve">Q75.  </w:t>
      </w:r>
      <w:r>
        <w:rPr>
          <w:rFonts w:ascii="Arial" w:cs="Arial" w:eastAsia="Arial" w:hAnsi="Arial"/>
          <w:b/>
          <w:bCs/>
          <w:color w:val="16243E"/>
          <w:sz w:val="22"/>
          <w:szCs w:val="22"/>
        </w:rPr>
        <w:t xml:space="preserve">Which type of deed provides the grantee with the broadest protection by warranting title against defects and encumbrances that arose both during the current grantor's ownership AND at any time before it, all the way back through the chain of title?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Quitclaim deed</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Deed of trust</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General warranty deed</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Special warranty deed</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 general warranty deed is the strongest form of deed because the grantor guarantees, or warrants, title against defects arising at any point in the property's history, not just during their own period of ownership. This is due to the full set of covenants it contains, including the covenant of seisin, the covenant against encumbrances, and the covenant of further assurance, all of which extend back through the entire chain of title. A special warranty deed, by contrast, limits that promise to defects arising only while the grantor owned the property, and a quitclaim deed offers no warranty at all. Because the question asks for the deed offering protection reaching back before the current owner's tenure, the general warranty deed is the only option that fits.</w:t>
      </w:r>
    </w:p>
    <w:p>
      <w:pPr>
        <w:spacing w:after="80" w:before="220"/>
      </w:pPr>
      <w:r>
        <w:rPr>
          <w:rFonts w:ascii="Arial" w:cs="Arial" w:eastAsia="Arial" w:hAnsi="Arial"/>
          <w:b/>
          <w:bCs/>
          <w:color w:val="E5431F"/>
          <w:sz w:val="22"/>
          <w:szCs w:val="22"/>
        </w:rPr>
        <w:t xml:space="preserve">Q76.  </w:t>
      </w:r>
      <w:r>
        <w:rPr>
          <w:rFonts w:ascii="Arial" w:cs="Arial" w:eastAsia="Arial" w:hAnsi="Arial"/>
          <w:b/>
          <w:bCs/>
          <w:color w:val="16243E"/>
          <w:sz w:val="22"/>
          <w:szCs w:val="22"/>
        </w:rPr>
        <w:t xml:space="preserve">Which of the following correctly describes a special (limited) warranty deed?</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It can only be used to convey commercial property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It contains no covenants of title whatsoever</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It provides broader protection to the grantee than a general warranty deed</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It warrants title only against defects or encumbrances that arose during the grantor's own period of ownership, not before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A special warranty deed, sometimes called a limited warranty deed, restricts the grantor's warranty of title to the period during which the grantor personally held the property, offering no assurance about defects that may have arisen earlier in the chain of title. This makes it a narrower promise than a general warranty deed, so option C is backwards, and it is not the same as a quitclaim deed, which carries no covenants at all, ruling out option B. Special warranty deeds are commonly used by fiduciaries, corporations, and sellers like banks or estates who only owned the property briefly and cannot vouch for its full history, and they can be used for residential as well as commercial transactions, which eliminates option A. Recognizing this middle-ground level of protection is key to distinguishing it from both the general warranty deed and the quitclaim deed on the exam.</w:t>
      </w:r>
    </w:p>
    <w:p>
      <w:pPr>
        <w:spacing w:after="80" w:before="220"/>
      </w:pPr>
      <w:r>
        <w:rPr>
          <w:rFonts w:ascii="Arial" w:cs="Arial" w:eastAsia="Arial" w:hAnsi="Arial"/>
          <w:b/>
          <w:bCs/>
          <w:color w:val="E5431F"/>
          <w:sz w:val="22"/>
          <w:szCs w:val="22"/>
        </w:rPr>
        <w:t xml:space="preserve">Q77.  </w:t>
      </w:r>
      <w:r>
        <w:rPr>
          <w:rFonts w:ascii="Arial" w:cs="Arial" w:eastAsia="Arial" w:hAnsi="Arial"/>
          <w:b/>
          <w:bCs/>
          <w:color w:val="16243E"/>
          <w:sz w:val="22"/>
          <w:szCs w:val="22"/>
        </w:rPr>
        <w:t xml:space="preserve">Which deed conveys whatever interest the grantor may currently hold in a property, without any covenants or warranty that the grantor actually possesses good and marketable title?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Special warranty deed</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Grant deed</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General warranty deed</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Quitclaim deed</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A quitclaim deed simply releases or conveys any interest the grantor may have in the property at the time of transfer, but it makes no promises about the quality, validity, or existence of that title. If the grantor actually owns nothing, the grantee receives nothing, and the grantee has no recourse against the grantor for title defects because no warranties were ever made. This is very different from a general or special warranty deed, both of which include express covenants that the grantor is legally accountable for. Quitclaim deeds are frequently used to clear up minor title issues, such as removing a spouse's name after divorce or correcting a clouded title, precisely because they transfer interest without creating warranty liability.</w:t>
      </w:r>
    </w:p>
    <w:p>
      <w:pPr>
        <w:spacing w:after="80" w:before="220"/>
      </w:pPr>
      <w:r>
        <w:rPr>
          <w:rFonts w:ascii="Arial" w:cs="Arial" w:eastAsia="Arial" w:hAnsi="Arial"/>
          <w:b/>
          <w:bCs/>
          <w:color w:val="E5431F"/>
          <w:sz w:val="22"/>
          <w:szCs w:val="22"/>
        </w:rPr>
        <w:t xml:space="preserve">Q78.  </w:t>
      </w:r>
      <w:r>
        <w:rPr>
          <w:rFonts w:ascii="Arial" w:cs="Arial" w:eastAsia="Arial" w:hAnsi="Arial"/>
          <w:b/>
          <w:bCs/>
          <w:color w:val="16243E"/>
          <w:sz w:val="22"/>
          <w:szCs w:val="22"/>
        </w:rPr>
        <w:t xml:space="preserve">Which of the following is an essential element required for a deed to be legally valid?</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The deed must be delivered by the grantor and accepted by the grantee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deed must include the buyer's Social Security number</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The deed must be recorded in the county land records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deed must be witnessed by a licensed real estate broker</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For a deed to effectively transfer title, it must satisfy several essential elements, including a competent grantor, an identifiable grantee, proper legal description, consideration, words of conveyance, the grantor's signature, and critically, delivery of the deed by the grantor with acceptance by the grantee. Without delivery and acceptance, title never actually passes, even if the document is otherwise perfectly drafted and signed. Recording, addressed in option C, is not required for a deed to be valid between the grantor and grantee; it only serves to give the public constructive notice and protect the grantee against later claimants, which is a separate legal function. Options D and B describe requirements that simply do not exist under deed law, making A the only true essential element listed.</w:t>
      </w:r>
    </w:p>
    <w:p>
      <w:pPr>
        <w:spacing w:after="80" w:before="220"/>
      </w:pPr>
      <w:r>
        <w:rPr>
          <w:rFonts w:ascii="Arial" w:cs="Arial" w:eastAsia="Arial" w:hAnsi="Arial"/>
          <w:b/>
          <w:bCs/>
          <w:color w:val="E5431F"/>
          <w:sz w:val="22"/>
          <w:szCs w:val="22"/>
        </w:rPr>
        <w:t xml:space="preserve">Q79.  </w:t>
      </w:r>
      <w:r>
        <w:rPr>
          <w:rFonts w:ascii="Arial" w:cs="Arial" w:eastAsia="Arial" w:hAnsi="Arial"/>
          <w:b/>
          <w:bCs/>
          <w:color w:val="16243E"/>
          <w:sz w:val="22"/>
          <w:szCs w:val="22"/>
        </w:rPr>
        <w:t xml:space="preserve">What is the primary purpose of conducting a title search and establishing a clear chain of title before closing?</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To confirm the buyer's loan qualifies for a specific mortgage program</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To trace the historical chain of ownership and uncover any liens, encumbrances, or defects affecting title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To calculate prorated property taxes at closing</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To determine the property's current market value for listing purposes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 title search examines the public land records to trace ownership of a property back through successive conveyances, forming what is called the chain of title, and to identify any outstanding liens, easements, judgments, or other encumbrances that could affect the buyer's ownership. This process is essential to confirming that the seller actually holds marketable title and that there are no unresolved defects that would cloud the buyer's future ownership. Market valuation, described in option D, is instead the function of an appraisal or a comparative market analysis, not a title search. Because the chain of title reveals the property's legal ownership history and any recorded claims against it, option B correctly identifies the core purpose behind title examination.</w:t>
      </w:r>
    </w:p>
    <w:p>
      <w:pPr>
        <w:spacing w:after="80" w:before="220"/>
      </w:pPr>
      <w:r>
        <w:rPr>
          <w:rFonts w:ascii="Arial" w:cs="Arial" w:eastAsia="Arial" w:hAnsi="Arial"/>
          <w:b/>
          <w:bCs/>
          <w:color w:val="E5431F"/>
          <w:sz w:val="22"/>
          <w:szCs w:val="22"/>
        </w:rPr>
        <w:t xml:space="preserve">Q80.  </w:t>
      </w:r>
      <w:r>
        <w:rPr>
          <w:rFonts w:ascii="Arial" w:cs="Arial" w:eastAsia="Arial" w:hAnsi="Arial"/>
          <w:b/>
          <w:bCs/>
          <w:color w:val="16243E"/>
          <w:sz w:val="22"/>
          <w:szCs w:val="22"/>
        </w:rPr>
        <w:t xml:space="preserve">How does an owner's title insurance policy generally differ from a lender's title insurance policy?</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Both policies are identical and either one may be substituted for the other</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Neither policy covers title defects that existed prior to the policy's effective date</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The owner's policy protects the buyer's equity for as long as they or their heirs hold an interest in the property, while the lender's policy protects only the lender's interest and typically decreases in coverage as the loan balance is paid down</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owner's policy protects only the lender's interest, while the lender's policy protects the buyer's equity</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An owner's title insurance policy is a one-time premium policy that protects the buyer's equity in the property against covered title defects for as long as the owner, or their heirs, retain an interest, which is why it offers such lasting value despite being optional in many transactions. A lender's title insurance policy, on the other hand, is typically required by the mortgage lender and protects only the lender's financial interest in the loan, with coverage generally decreasing as the outstanding loan balance is paid down over time. This is the opposite of what options D and A suggest, since the two policies protect different parties and are not interchangeable. Both policies do share the feature of covering defects that existed before the policy was issued but were previously unknown or undiscovered, which is precisely why option B is incorrect and C is the accurate distinction.</w:t>
      </w:r>
    </w:p>
    <w:p>
      <w:pPr>
        <w:spacing w:after="80" w:before="220"/>
      </w:pPr>
      <w:r>
        <w:rPr>
          <w:rFonts w:ascii="Arial" w:cs="Arial" w:eastAsia="Arial" w:hAnsi="Arial"/>
          <w:b/>
          <w:bCs/>
          <w:color w:val="E5431F"/>
          <w:sz w:val="22"/>
          <w:szCs w:val="22"/>
        </w:rPr>
        <w:t xml:space="preserve">Q81.  </w:t>
      </w:r>
      <w:r>
        <w:rPr>
          <w:rFonts w:ascii="Arial" w:cs="Arial" w:eastAsia="Arial" w:hAnsi="Arial"/>
          <w:b/>
          <w:bCs/>
          <w:color w:val="16243E"/>
          <w:sz w:val="22"/>
          <w:szCs w:val="22"/>
        </w:rPr>
        <w:t xml:space="preserve">What is the primary legal purpose of recording a deed in the county land records?</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To give constructive (public) notice of the grantee's ownership interest, protecting it against later purchasers or claimants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To guarantee that the property is free of all liens and encumbrances</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To satisfy the statute of frauds requirement that the deed be in writing</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To officially transfer title from the grantor to the grantee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Recording a deed places it into the public record, which creates constructive notice to the entire world of the grantee's interest in the property, meaning subsequent purchasers, lenders, and creditors are legally presumed to know about that recorded interest even if they never personally saw the document. Title itself actually transfers upon proper delivery and acceptance of the deed between the parties, not upon recording, so option D describes a different legal event. The statute of frauds requirement that real estate conveyances be in writing is satisfied by the deed's existence and execution, not by the separate act of recording it, which rules out option C. Recording also does not guarantee a property is lien-free, as unrecorded or later-discovered defects can still exist, which is exactly why buyers rely on title searches and title insurance rather than recording alone.</w:t>
      </w:r>
    </w:p>
    <w:p>
      <w:pPr>
        <w:spacing w:after="80" w:before="220"/>
      </w:pPr>
      <w:r>
        <w:rPr>
          <w:rFonts w:ascii="Arial" w:cs="Arial" w:eastAsia="Arial" w:hAnsi="Arial"/>
          <w:b/>
          <w:bCs/>
          <w:color w:val="E5431F"/>
          <w:sz w:val="22"/>
          <w:szCs w:val="22"/>
        </w:rPr>
        <w:t xml:space="preserve">Q82.  </w:t>
      </w:r>
      <w:r>
        <w:rPr>
          <w:rFonts w:ascii="Arial" w:cs="Arial" w:eastAsia="Arial" w:hAnsi="Arial"/>
          <w:b/>
          <w:bCs/>
          <w:color w:val="16243E"/>
          <w:sz w:val="22"/>
          <w:szCs w:val="22"/>
        </w:rPr>
        <w:t xml:space="preserve">Under the general priority rule followed in most recording statutes, if Buyer A purchases a property but does not record the deed, and Buyer B later purchases the same property from the same seller without any actual or constructive knowledge of Buyer A's earlier purchase, and Buyer B promptly records their deed first, what is the typical result?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The transaction is void and the property reverts to the original seller</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Buyer A automatically prevails simply because they purchased first in time</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Buyer B, having recorded first without notice of the earlier unrecorded conveyance, generally obtains priority over Buyer A's interest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Ownership is automatically split equally between Buyer A and Buyer B</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Recording statutes exist precisely to protect innocent purchasers who buy property without notice of a prior, unrecorded conveyance, so under this general principle a subsequent good-faith buyer who records first, like Buyer B, typically gains priority over an earlier buyer who failed to record their interest. This outcome may seem counterintuitive since Buyer A purchased first, but the law places the burden on buyers to record promptly to protect themselves and put the world on notice of their claim. Option B reflects a strict first-in-time rule that does not account for recording statutes' notice protections, which is why it is incorrect in jurisdictions that follow notice-based or race-notice recording principles. Options D and A describe outcomes with no basis in standard title and recording law, since courts do not split ownership or void transactions simply due to a recording conflict of this type.</w:t>
      </w:r>
    </w:p>
    <w:p>
      <w:pPr>
        <w:spacing w:after="80" w:before="220"/>
      </w:pPr>
      <w:r>
        <w:rPr>
          <w:rFonts w:ascii="Arial" w:cs="Arial" w:eastAsia="Arial" w:hAnsi="Arial"/>
          <w:b/>
          <w:bCs/>
          <w:color w:val="E5431F"/>
          <w:sz w:val="22"/>
          <w:szCs w:val="22"/>
        </w:rPr>
        <w:t xml:space="preserve">Q83.  </w:t>
      </w:r>
      <w:r>
        <w:rPr>
          <w:rFonts w:ascii="Arial" w:cs="Arial" w:eastAsia="Arial" w:hAnsi="Arial"/>
          <w:b/>
          <w:bCs/>
          <w:color w:val="16243E"/>
          <w:sz w:val="22"/>
          <w:szCs w:val="22"/>
        </w:rPr>
        <w:t xml:space="preserve">In a real estate transaction, the neutral third party who holds the buyer's funds, the executed deed, and other closing documents until all conditions of the purchase agreement have been satisfied is known as the: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Title examiner</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Listing broker</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Escrow agent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Grantor</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The escrow agent is a neutral, independent third party, often an attorney, title company representative, or dedicated escrow officer, who holds the buyer's earnest money, the deed, loan documents, and other closing items in trust until every condition of the sales contract has been met. This arrangement protects both the buyer and seller because neither party has to release funds or the deed until all contingencies, inspections, and financing requirements have cleared. A listing broker's role is to market the property and represent the seller, and a title examiner's role is limited to researching the chain of title, so neither of those parties typically holds funds or documents in the way an escrow agent does. The grantor, meanwhile, is simply the party transferring the property and is not a neutral stakeholder, which makes escrow agent the only correct answer.</w:t>
      </w:r>
    </w:p>
    <w:p>
      <w:pPr>
        <w:spacing w:after="80" w:before="220"/>
      </w:pPr>
      <w:r>
        <w:rPr>
          <w:rFonts w:ascii="Arial" w:cs="Arial" w:eastAsia="Arial" w:hAnsi="Arial"/>
          <w:b/>
          <w:bCs/>
          <w:color w:val="E5431F"/>
          <w:sz w:val="22"/>
          <w:szCs w:val="22"/>
        </w:rPr>
        <w:t xml:space="preserve">Q84.  </w:t>
      </w:r>
      <w:r>
        <w:rPr>
          <w:rFonts w:ascii="Arial" w:cs="Arial" w:eastAsia="Arial" w:hAnsi="Arial"/>
          <w:b/>
          <w:bCs/>
          <w:color w:val="16243E"/>
          <w:sz w:val="22"/>
          <w:szCs w:val="22"/>
        </w:rPr>
        <w:t xml:space="preserve">Which closing document is a lender legally required to provide to a residential borrower, itemizing the final loan terms and all closing costs, generally no later than three business days before closing?</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The Closing Disclosure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purchase and sale agreement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The deed of conveyance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title commitment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The Closing Disclosure is the standardized five-page form that federal law, under the TILA-RESPA Integrated Disclosure rule, requires lenders to deliver to residential borrowers at least three business days before consummation of the loan, and it details the final loan terms, monthly payment, and an itemized breakdown of all closing costs. This waiting period gives the borrower time to review the numbers and compare them against the earlier Loan Estimate, catching any errors or unexpected changes before signing. A title commitment addresses the insurability of title and is issued by the title company, not the lender, and it does not itemize closing costs in the way the Closing Disclosure does. The purchase and sale agreement and the deed of conveyance serve entirely different purposes in the transaction, governing the contract terms and the actual transfer of title respectively, so neither satisfies this specific federal disclosure requirement.</w:t>
      </w:r>
    </w:p>
    <w:p>
      <w:pPr>
        <w:pStyle w:val="Heading1"/>
        <w:pBdr>
          <w:bottom w:val="single" w:color="E5431F" w:sz="12" w:space="4"/>
        </w:pBdr>
        <w:spacing w:after="200" w:before="400"/>
      </w:pPr>
      <w:r>
        <w:rPr>
          <w:rFonts w:ascii="Arial" w:cs="Arial" w:eastAsia="Arial" w:hAnsi="Arial"/>
          <w:b/>
          <w:bCs/>
          <w:color w:val="16243E"/>
          <w:sz w:val="28"/>
          <w:szCs w:val="28"/>
        </w:rPr>
        <w:t xml:space="preserve">Math Calculations  (Questions 85–100)</w:t>
      </w:r>
    </w:p>
    <w:p>
      <w:pPr>
        <w:spacing w:after="80" w:before="220"/>
      </w:pPr>
      <w:r>
        <w:rPr>
          <w:rFonts w:ascii="Arial" w:cs="Arial" w:eastAsia="Arial" w:hAnsi="Arial"/>
          <w:b/>
          <w:bCs/>
          <w:color w:val="E5431F"/>
          <w:sz w:val="22"/>
          <w:szCs w:val="22"/>
        </w:rPr>
        <w:t xml:space="preserve">Q85.  </w:t>
      </w:r>
      <w:r>
        <w:rPr>
          <w:rFonts w:ascii="Arial" w:cs="Arial" w:eastAsia="Arial" w:hAnsi="Arial"/>
          <w:b/>
          <w:bCs/>
          <w:color w:val="16243E"/>
          <w:sz w:val="22"/>
          <w:szCs w:val="22"/>
        </w:rPr>
        <w:t xml:space="preserve">A home sells for $250,000, and the listing brokerage charged a 6% commission. If the total commission is split 50/50 between the listing brokerage and the selling brokerage, how much does the selling brokerage receive?</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$7,500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$6,000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$9,000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$15,000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Start by finding the total commission: $250,000 × 6% (0.06) = $15,000. Since the commission is split evenly (50/50) between the two brokerages, divide the total in half: $15,000 ÷ 2 = $7,500. That $7,500 is the selling brokerage's share, so the correct answer is A.</w:t>
      </w:r>
    </w:p>
    <w:p>
      <w:pPr>
        <w:spacing w:after="80" w:before="220"/>
      </w:pPr>
      <w:r>
        <w:rPr>
          <w:rFonts w:ascii="Arial" w:cs="Arial" w:eastAsia="Arial" w:hAnsi="Arial"/>
          <w:b/>
          <w:bCs/>
          <w:color w:val="E5431F"/>
          <w:sz w:val="22"/>
          <w:szCs w:val="22"/>
        </w:rPr>
        <w:t xml:space="preserve">Q86.  </w:t>
      </w:r>
      <w:r>
        <w:rPr>
          <w:rFonts w:ascii="Arial" w:cs="Arial" w:eastAsia="Arial" w:hAnsi="Arial"/>
          <w:b/>
          <w:bCs/>
          <w:color w:val="16243E"/>
          <w:sz w:val="22"/>
          <w:szCs w:val="22"/>
        </w:rPr>
        <w:t xml:space="preserve">A property sells for $400,000 with a 5% total commission. The commission is split 50/50 between the listing brokerage and selling brokerage, and the listing agent then earns 60% of the listing brokerage's share. How much does the listing agent personally earn?</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$4,000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$10,000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$12,000</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$6,000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First calculate the total commission: $400,000 × 5% = $20,000. Splitting this evenly between the two brokerages gives $20,000 ÷ 2 = $10,000 to the listing brokerage. The listing agent then receives 60% of that $10,000 brokerage share: $10,000 × 0.60 = $6,000, making D the correct answer — note that applying the 60% to the full $20,000 (a common mistake) incorrectly gives $12,000.</w:t>
      </w:r>
    </w:p>
    <w:p>
      <w:pPr>
        <w:spacing w:after="80" w:before="220"/>
      </w:pPr>
      <w:r>
        <w:rPr>
          <w:rFonts w:ascii="Arial" w:cs="Arial" w:eastAsia="Arial" w:hAnsi="Arial"/>
          <w:b/>
          <w:bCs/>
          <w:color w:val="E5431F"/>
          <w:sz w:val="22"/>
          <w:szCs w:val="22"/>
        </w:rPr>
        <w:t xml:space="preserve">Q87.  </w:t>
      </w:r>
      <w:r>
        <w:rPr>
          <w:rFonts w:ascii="Arial" w:cs="Arial" w:eastAsia="Arial" w:hAnsi="Arial"/>
          <w:b/>
          <w:bCs/>
          <w:color w:val="16243E"/>
          <w:sz w:val="22"/>
          <w:szCs w:val="22"/>
        </w:rPr>
        <w:t xml:space="preserve">A home sells for $180,000, and the agreed commission rate is 7%. What is the total dollar amount of the commission?</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$12,000</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$12,600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$18,000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$1,260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To find the total commission, multiply the sale price by the commission rate expressed as a decimal: $180,000 × 0.07 = $12,600. Watch your decimal placement here — moving it one spot the wrong way would incorrectly give $1,260 or $18,000, which are common errors. Since $180,000 × 0.07 = $12,600 exactly, the correct answer is B.</w:t>
      </w:r>
    </w:p>
    <w:p>
      <w:pPr>
        <w:spacing w:after="80" w:before="220"/>
      </w:pPr>
      <w:r>
        <w:rPr>
          <w:rFonts w:ascii="Arial" w:cs="Arial" w:eastAsia="Arial" w:hAnsi="Arial"/>
          <w:b/>
          <w:bCs/>
          <w:color w:val="E5431F"/>
          <w:sz w:val="22"/>
          <w:szCs w:val="22"/>
        </w:rPr>
        <w:t xml:space="preserve">Q88.  </w:t>
      </w:r>
      <w:r>
        <w:rPr>
          <w:rFonts w:ascii="Arial" w:cs="Arial" w:eastAsia="Arial" w:hAnsi="Arial"/>
          <w:b/>
          <w:bCs/>
          <w:color w:val="16243E"/>
          <w:sz w:val="22"/>
          <w:szCs w:val="22"/>
        </w:rPr>
        <w:t xml:space="preserve">Annual property taxes on a home total $3,650 and have not yet been paid for the year (taxes are paid in arrears). Closing occurs on July 1, and using a 365-day year, the seller has owned the home for exactly 180 days of that year. How much should be credited to the buyer at closing for the seller's share of the unpaid taxes?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$3,650</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$1,800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$1,650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$1,850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First find the daily tax rate by dividing the annual tax bill by 365 days: $3,650 ÷ 365 = $10 per day. Since the taxes haven't been paid yet, the seller owes the buyer a credit equal to the number of days the seller owned the home: 180 days × $10/day = $1,800. This credit compensates the buyer, who will end up paying the full year's tax bill even though the seller lived there for part of the year, so the correct answer is B.</w:t>
      </w:r>
    </w:p>
    <w:p>
      <w:pPr>
        <w:spacing w:after="80" w:before="220"/>
      </w:pPr>
      <w:r>
        <w:rPr>
          <w:rFonts w:ascii="Arial" w:cs="Arial" w:eastAsia="Arial" w:hAnsi="Arial"/>
          <w:b/>
          <w:bCs/>
          <w:color w:val="E5431F"/>
          <w:sz w:val="22"/>
          <w:szCs w:val="22"/>
        </w:rPr>
        <w:t xml:space="preserve">Q89.  </w:t>
      </w:r>
      <w:r>
        <w:rPr>
          <w:rFonts w:ascii="Arial" w:cs="Arial" w:eastAsia="Arial" w:hAnsi="Arial"/>
          <w:b/>
          <w:bCs/>
          <w:color w:val="16243E"/>
          <w:sz w:val="22"/>
          <w:szCs w:val="22"/>
        </w:rPr>
        <w:t xml:space="preserve">Monthly HOA dues of $300 have already been paid in full by the seller for the current 30-day month. Closing takes place on the 15th day of that month, meaning the buyer will own the home for the remaining 15 days of the month. How much must the buyer reimburse the seller for HOA dues at closing?</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$200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$300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$100</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$150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Begin by finding the daily HOA rate: $300 ÷ 30 days = $10 per day. Because the seller already paid for the whole month but will only occupy it for 15 of those days, the buyer owes the seller for the remaining 15 days: 15 × $10 = $150. This reimbursement is a standard proration credit at closing, making D the correct answer.</w:t>
      </w:r>
    </w:p>
    <w:p>
      <w:pPr>
        <w:spacing w:after="80" w:before="220"/>
      </w:pPr>
      <w:r>
        <w:rPr>
          <w:rFonts w:ascii="Arial" w:cs="Arial" w:eastAsia="Arial" w:hAnsi="Arial"/>
          <w:b/>
          <w:bCs/>
          <w:color w:val="E5431F"/>
          <w:sz w:val="22"/>
          <w:szCs w:val="22"/>
        </w:rPr>
        <w:t xml:space="preserve">Q90.  </w:t>
      </w:r>
      <w:r>
        <w:rPr>
          <w:rFonts w:ascii="Arial" w:cs="Arial" w:eastAsia="Arial" w:hAnsi="Arial"/>
          <w:b/>
          <w:bCs/>
          <w:color w:val="16243E"/>
          <w:sz w:val="22"/>
          <w:szCs w:val="22"/>
        </w:rPr>
        <w:t xml:space="preserve">A bedroom measures 12 feet by 15 feet. What is the area of the room in square feet?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27 sq ft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360 sq ft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54 sq ft</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180 sq ft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Area of a rectangle is calculated by multiplying length by width: 12 ft × 15 ft = 180 square feet. Be careful not to confuse this with perimeter, which would be 2 × (12 + 15) = 54 ft, or with simply adding the two dimensions (27), which are common mix-ups on this type of question. Since 12 × 15 = 180, the correct answer is D.</w:t>
      </w:r>
    </w:p>
    <w:p>
      <w:pPr>
        <w:spacing w:after="80" w:before="220"/>
      </w:pPr>
      <w:r>
        <w:rPr>
          <w:rFonts w:ascii="Arial" w:cs="Arial" w:eastAsia="Arial" w:hAnsi="Arial"/>
          <w:b/>
          <w:bCs/>
          <w:color w:val="E5431F"/>
          <w:sz w:val="22"/>
          <w:szCs w:val="22"/>
        </w:rPr>
        <w:t xml:space="preserve">Q91.  </w:t>
      </w:r>
      <w:r>
        <w:rPr>
          <w:rFonts w:ascii="Arial" w:cs="Arial" w:eastAsia="Arial" w:hAnsi="Arial"/>
          <w:b/>
          <w:bCs/>
          <w:color w:val="16243E"/>
          <w:sz w:val="22"/>
          <w:szCs w:val="22"/>
        </w:rPr>
        <w:t xml:space="preserve">A home with 2,400 square feet of living space recently sold for $360,000. What was the sale price per square foot?</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$150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$1,500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$15</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$144</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To find price per square foot, divide the total sale price by the total square footage: $360,000 ÷ 2,400 sq ft = $150 per square foot. You can check this answer by multiplying it back out: $150 × 2,400 = $360,000, which confirms the math. Therefore, the correct answer is A.</w:t>
      </w:r>
    </w:p>
    <w:p>
      <w:pPr>
        <w:spacing w:after="80" w:before="220"/>
      </w:pPr>
      <w:r>
        <w:rPr>
          <w:rFonts w:ascii="Arial" w:cs="Arial" w:eastAsia="Arial" w:hAnsi="Arial"/>
          <w:b/>
          <w:bCs/>
          <w:color w:val="E5431F"/>
          <w:sz w:val="22"/>
          <w:szCs w:val="22"/>
        </w:rPr>
        <w:t xml:space="preserve">Q92.  </w:t>
      </w:r>
      <w:r>
        <w:rPr>
          <w:rFonts w:ascii="Arial" w:cs="Arial" w:eastAsia="Arial" w:hAnsi="Arial"/>
          <w:b/>
          <w:bCs/>
          <w:color w:val="16243E"/>
          <w:sz w:val="22"/>
          <w:szCs w:val="22"/>
        </w:rPr>
        <w:t xml:space="preserve">Using Georgia's real estate transfer tax formula — (sale price ÷ 100) × $0.10 — what is the transfer tax owed on a home that sells for $200,000?</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$220</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$200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$20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$2,000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Apply the Georgia transfer tax formula step by step: first divide the sale price by 100, so $200,000 ÷ 100 = 2,000. Then multiply that result by $0.10: 2,000 × $0.10 = $200. This formula is equivalent to $1 per $1,000 of sale price, and since $200,000 × 0.001 = $200, the correct answer is B.</w:t>
      </w:r>
    </w:p>
    <w:p>
      <w:pPr>
        <w:spacing w:after="80" w:before="220"/>
      </w:pPr>
      <w:r>
        <w:rPr>
          <w:rFonts w:ascii="Arial" w:cs="Arial" w:eastAsia="Arial" w:hAnsi="Arial"/>
          <w:b/>
          <w:bCs/>
          <w:color w:val="E5431F"/>
          <w:sz w:val="22"/>
          <w:szCs w:val="22"/>
        </w:rPr>
        <w:t xml:space="preserve">Q93.  </w:t>
      </w:r>
      <w:r>
        <w:rPr>
          <w:rFonts w:ascii="Arial" w:cs="Arial" w:eastAsia="Arial" w:hAnsi="Arial"/>
          <w:b/>
          <w:bCs/>
          <w:color w:val="16243E"/>
          <w:sz w:val="22"/>
          <w:szCs w:val="22"/>
        </w:rPr>
        <w:t xml:space="preserve">A property in Georgia sells for $350,000. Using the state transfer tax formula of (sale price ÷ 100) × $0.10, how much is the transfer tax?</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$350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$355</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$3,500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$35</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Following the Georgia transfer tax formula, first divide the sale price by 100: $350,000 ÷ 100 = 3,500. Then multiply by $0.10: 3,500 × $0.10 = $350. Remember this is the same as multiplying the sale price directly by 0.001 ($350,000 × 0.001 = $350), confirming that the correct answer is A.</w:t>
      </w:r>
    </w:p>
    <w:p>
      <w:pPr>
        <w:spacing w:after="80" w:before="220"/>
      </w:pPr>
      <w:r>
        <w:rPr>
          <w:rFonts w:ascii="Arial" w:cs="Arial" w:eastAsia="Arial" w:hAnsi="Arial"/>
          <w:b/>
          <w:bCs/>
          <w:color w:val="E5431F"/>
          <w:sz w:val="22"/>
          <w:szCs w:val="22"/>
        </w:rPr>
        <w:t xml:space="preserve">Q94.  </w:t>
      </w:r>
      <w:r>
        <w:rPr>
          <w:rFonts w:ascii="Arial" w:cs="Arial" w:eastAsia="Arial" w:hAnsi="Arial"/>
          <w:b/>
          <w:bCs/>
          <w:color w:val="16243E"/>
          <w:sz w:val="22"/>
          <w:szCs w:val="22"/>
        </w:rPr>
        <w:t xml:space="preserve">A home sells for $125,000 in Georgia. Applying the transfer tax formula of (sale price ÷ 100) × $0.10, what is the transfer tax due?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$12.50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$137.50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$1,250</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$125</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Divide the sale price by 100 first: $125,000 ÷ 100 = 1,250. Then multiply by $0.10 as the formula requires: 1,250 × $0.10 = $125. This is consistent with the shortcut of $1 per $1,000 of sale price, so the correct answer is D.</w:t>
      </w:r>
    </w:p>
    <w:p>
      <w:pPr>
        <w:spacing w:after="80" w:before="220"/>
      </w:pPr>
      <w:r>
        <w:rPr>
          <w:rFonts w:ascii="Arial" w:cs="Arial" w:eastAsia="Arial" w:hAnsi="Arial"/>
          <w:b/>
          <w:bCs/>
          <w:color w:val="E5431F"/>
          <w:sz w:val="22"/>
          <w:szCs w:val="22"/>
        </w:rPr>
        <w:t xml:space="preserve">Q95.  </w:t>
      </w:r>
      <w:r>
        <w:rPr>
          <w:rFonts w:ascii="Arial" w:cs="Arial" w:eastAsia="Arial" w:hAnsi="Arial"/>
          <w:b/>
          <w:bCs/>
          <w:color w:val="16243E"/>
          <w:sz w:val="22"/>
          <w:szCs w:val="22"/>
        </w:rPr>
        <w:t xml:space="preserve">A buyer takes out a new loan of $150,000 in Georgia. The state intangible recording tax is $1.50 per $500 of loan principal (or fraction thereof). How much intangible recording tax is owed?</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$450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$900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$300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$225</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First determine how many $500 increments are in the loan amount: $150,000 ÷ $500 = 300 increments exactly, with no leftover fraction. Then multiply the number of increments by the tax rate: 300 × $1.50 = $450. Since $150,000 divides evenly by $500, no rounding up is needed, and the correct answer is A.</w:t>
      </w:r>
    </w:p>
    <w:p>
      <w:pPr>
        <w:spacing w:after="80" w:before="220"/>
      </w:pPr>
      <w:r>
        <w:rPr>
          <w:rFonts w:ascii="Arial" w:cs="Arial" w:eastAsia="Arial" w:hAnsi="Arial"/>
          <w:b/>
          <w:bCs/>
          <w:color w:val="E5431F"/>
          <w:sz w:val="22"/>
          <w:szCs w:val="22"/>
        </w:rPr>
        <w:t xml:space="preserve">Q96.  </w:t>
      </w:r>
      <w:r>
        <w:rPr>
          <w:rFonts w:ascii="Arial" w:cs="Arial" w:eastAsia="Arial" w:hAnsi="Arial"/>
          <w:b/>
          <w:bCs/>
          <w:color w:val="16243E"/>
          <w:sz w:val="22"/>
          <w:szCs w:val="22"/>
        </w:rPr>
        <w:t xml:space="preserve">A buyer secures a new loan of $150,100 in Georgia, where the intangible recording tax is $1.50 per $500 of loan principal or any fraction thereof. How much intangible recording tax is owed?</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$450.30</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$451.50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$450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$225.75</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Divide the loan amount by $500: $150,100 ÷ $500 = 300.2, meaning there are 300 full increments plus a partial (fractional) increment. Because the tax applies per $500 'or fraction thereof,' that partial increment must be rounded UP to a full increment, giving 301 total increments. Multiplying 301 × $1.50 = $451.50, so the correct answer is B — simply using 300.2 without rounding up (as in $450.30) ignores the 'fraction thereof' rule.</w:t>
      </w:r>
    </w:p>
    <w:p>
      <w:pPr>
        <w:spacing w:after="80" w:before="220"/>
      </w:pPr>
      <w:r>
        <w:rPr>
          <w:rFonts w:ascii="Arial" w:cs="Arial" w:eastAsia="Arial" w:hAnsi="Arial"/>
          <w:b/>
          <w:bCs/>
          <w:color w:val="E5431F"/>
          <w:sz w:val="22"/>
          <w:szCs w:val="22"/>
        </w:rPr>
        <w:t xml:space="preserve">Q97.  </w:t>
      </w:r>
      <w:r>
        <w:rPr>
          <w:rFonts w:ascii="Arial" w:cs="Arial" w:eastAsia="Arial" w:hAnsi="Arial"/>
          <w:b/>
          <w:bCs/>
          <w:color w:val="16243E"/>
          <w:sz w:val="22"/>
          <w:szCs w:val="22"/>
        </w:rPr>
        <w:t xml:space="preserve">A buyer purchases a home for $300,000 and obtains a loan of $240,000. What is the loan-to-value (LTV) ratio?</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90%</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80%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75%</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60%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LTV ratio is calculated by dividing the loan amount by the property's value (or purchase price): $240,000 ÷ $300,000 = 0.80. Converting that decimal to a percentage gives 80%. Since the loan covers 80% of the purchase price, the correct answer is B.</w:t>
      </w:r>
    </w:p>
    <w:p>
      <w:pPr>
        <w:spacing w:after="80" w:before="220"/>
      </w:pPr>
      <w:r>
        <w:rPr>
          <w:rFonts w:ascii="Arial" w:cs="Arial" w:eastAsia="Arial" w:hAnsi="Arial"/>
          <w:b/>
          <w:bCs/>
          <w:color w:val="E5431F"/>
          <w:sz w:val="22"/>
          <w:szCs w:val="22"/>
        </w:rPr>
        <w:t xml:space="preserve">Q98.  </w:t>
      </w:r>
      <w:r>
        <w:rPr>
          <w:rFonts w:ascii="Arial" w:cs="Arial" w:eastAsia="Arial" w:hAnsi="Arial"/>
          <w:b/>
          <w:bCs/>
          <w:color w:val="16243E"/>
          <w:sz w:val="22"/>
          <w:szCs w:val="22"/>
        </w:rPr>
        <w:t xml:space="preserve">A home is appraised at $200,000, and the buyer obtains a loan of $180,000. What is the loan-to-value (LTV) ratio?</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10%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80%</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111%</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90%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To find LTV, divide the loan amount by the appraised value: $180,000 ÷ $200,000 = 0.90, which equals 90%. This means the buyer is financing 90% of the home's value and making a 10% down payment ($20,000). Since 0.90 converts to 90%, the correct answer is D.</w:t>
      </w:r>
    </w:p>
    <w:p>
      <w:pPr>
        <w:spacing w:after="80" w:before="220"/>
      </w:pPr>
      <w:r>
        <w:rPr>
          <w:rFonts w:ascii="Arial" w:cs="Arial" w:eastAsia="Arial" w:hAnsi="Arial"/>
          <w:b/>
          <w:bCs/>
          <w:color w:val="E5431F"/>
          <w:sz w:val="22"/>
          <w:szCs w:val="22"/>
        </w:rPr>
        <w:t xml:space="preserve">Q99.  </w:t>
      </w:r>
      <w:r>
        <w:rPr>
          <w:rFonts w:ascii="Arial" w:cs="Arial" w:eastAsia="Arial" w:hAnsi="Arial"/>
          <w:b/>
          <w:bCs/>
          <w:color w:val="16243E"/>
          <w:sz w:val="22"/>
          <w:szCs w:val="22"/>
        </w:rPr>
        <w:t xml:space="preserve">A buyer's loan amount is $200,000, and the lender charges 2 discount points to lower the interest rate. How much will the buyer pay for these discount points?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$40,000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$400</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$4,000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$2,000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Each discount point equals 1% of the loan amount, so 2 points equal 2% of the loan. Calculate 2% of $200,000: $200,000 × 0.02 = $4,000. Since the buyer is paying 2 full points, not a fraction of one, the correct total cost is $4,000, making C the correct answer.</w:t>
      </w:r>
    </w:p>
    <w:p>
      <w:pPr>
        <w:spacing w:after="80" w:before="220"/>
      </w:pPr>
      <w:r>
        <w:rPr>
          <w:rFonts w:ascii="Arial" w:cs="Arial" w:eastAsia="Arial" w:hAnsi="Arial"/>
          <w:b/>
          <w:bCs/>
          <w:color w:val="E5431F"/>
          <w:sz w:val="22"/>
          <w:szCs w:val="22"/>
        </w:rPr>
        <w:t xml:space="preserve">Q100.  </w:t>
      </w:r>
      <w:r>
        <w:rPr>
          <w:rFonts w:ascii="Arial" w:cs="Arial" w:eastAsia="Arial" w:hAnsi="Arial"/>
          <w:b/>
          <w:bCs/>
          <w:color w:val="16243E"/>
          <w:sz w:val="22"/>
          <w:szCs w:val="22"/>
        </w:rPr>
        <w:t xml:space="preserve">A home sells for $350,000. The seller pays a 6% real estate commission, pays off an existing mortgage balance of $150,000, and pays $2,000 in other closing costs. How much are the seller's net proceeds from the sale?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$179,000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$150,000</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$177,000</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$198,000</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Start by calculating the commission: $350,000 × 6% = $21,000. Subtract each cost from the sale price step by step: $350,000 − $21,000 (commission) = $329,000; then $329,000 − $150,000 (mortgage payoff) = $179,000; then $179,000 − $2,000 (closing costs) = $177,000. After accounting for all three deductions — commission, mortgage payoff, and closing costs — the seller's net proceeds equal $177,000, so the correct answer is C.</w:t>
      </w:r>
    </w:p>
    <w:p>
      <w:pPr>
        <w:pStyle w:val="Heading1"/>
        <w:pBdr>
          <w:bottom w:val="single" w:color="E5431F" w:sz="12" w:space="4"/>
        </w:pBdr>
        <w:spacing w:after="200" w:before="400"/>
      </w:pPr>
      <w:r>
        <w:rPr>
          <w:rFonts w:ascii="Arial" w:cs="Arial" w:eastAsia="Arial" w:hAnsi="Arial"/>
          <w:b/>
          <w:bCs/>
          <w:color w:val="16243E"/>
          <w:sz w:val="28"/>
          <w:szCs w:val="28"/>
        </w:rPr>
        <w:t xml:space="preserve">Georgia License Law  (Questions 101–125)</w:t>
      </w:r>
    </w:p>
    <w:p>
      <w:pPr>
        <w:spacing w:after="80" w:before="220"/>
      </w:pPr>
      <w:r>
        <w:rPr>
          <w:rFonts w:ascii="Arial" w:cs="Arial" w:eastAsia="Arial" w:hAnsi="Arial"/>
          <w:b/>
          <w:bCs/>
          <w:color w:val="E5431F"/>
          <w:sz w:val="22"/>
          <w:szCs w:val="22"/>
        </w:rPr>
        <w:t xml:space="preserve">Q101.  </w:t>
      </w:r>
      <w:r>
        <w:rPr>
          <w:rFonts w:ascii="Arial" w:cs="Arial" w:eastAsia="Arial" w:hAnsi="Arial"/>
          <w:b/>
          <w:bCs/>
          <w:color w:val="16243E"/>
          <w:sz w:val="22"/>
          <w:szCs w:val="22"/>
        </w:rPr>
        <w:t xml:space="preserve">A civic group challenges the makeup of the Georgia Real Estate Commission (GREC), claiming it is entirely controlled by real estate insiders with no consumer voice and no government oversight. Which statement most accurately describes GREC's actual composition and appointment process?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All six members are licensees appointed by the industry itself, with no consumer representative and no government oversight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Twelve members, evenly split between licensees and consumers, elected by the public</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Nine members, all consumer advocates, appointed by the state legislature</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Six members, appointed by the Governor and confirmed by the Senate — five who must be active licensees and one who must be a consumer member unaffiliated with real estate, each serving a five-year term</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GREC is made up of six members appointed by the Governor and confirmed by the Senate, each serving a five-year term, with five of the six required to be active real estate licensees and one required to be a consumer-affairs representative with no ties to the real estate industry — refuting the claim that no consumer voice or government oversight exists. Option A repeats the civic group's inaccurate claim rather than the actual structure, and Georgia's Commission has neither twelve members split evenly between licensees and consumers (option B) nor nine legislature-appointed consumer advocates (option C). Because the Governor and Senate are directly involved in every appointment, and one seat is reserved specifically for a non-industry consumer member, GREC's structure already builds in the accountability and public-interest perspective the civic group assumes is missing.</w:t>
      </w:r>
    </w:p>
    <w:p>
      <w:pPr>
        <w:spacing w:after="80" w:before="220"/>
      </w:pPr>
      <w:r>
        <w:rPr>
          <w:rFonts w:ascii="Arial" w:cs="Arial" w:eastAsia="Arial" w:hAnsi="Arial"/>
          <w:b/>
          <w:bCs/>
          <w:color w:val="E5431F"/>
          <w:sz w:val="22"/>
          <w:szCs w:val="22"/>
        </w:rPr>
        <w:t xml:space="preserve">Q102.  </w:t>
      </w:r>
      <w:r>
        <w:rPr>
          <w:rFonts w:ascii="Arial" w:cs="Arial" w:eastAsia="Arial" w:hAnsi="Arial"/>
          <w:b/>
          <w:bCs/>
          <w:color w:val="16243E"/>
          <w:sz w:val="22"/>
          <w:szCs w:val="22"/>
        </w:rPr>
        <w:t xml:space="preserve">A 17-year-old high school senior who has already earned an associate degree through dual enrollment wants to know the earliest they could apply for a Georgia real estate salesperson license, assuming they complete the required prelicense education and pass the state exam. What should they be told about the minimum age and education requirements?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They cannot apply because Georgia requires a four-year bachelor's degree, not an associate degree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They can apply immediately, since Georgia has no minimum age as long as some post-secondary credit has been earned</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They cannot apply until age 21, regardless of education level</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They can apply once they turn 18, since Georgia requires only that an applicant be at least 18 years old and a high school graduate or hold a GED-equivalent certificate — the associate degree exceeds, but doesn't replace, that requirement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Georgia requires a salesperson applicant to be at least 18 years old and a high school graduate or hold a GED-equivalent certificate, so this student could apply once they turn 18 — their associate degree exceeds the education requirement but doesn't let them apply earlier, since the age floor is a separate, mandatory element. Option A is wrong because Georgia does not require a four-year degree at all, let alone as a substitute for the age requirement, and option B is wrong because Georgia does enforce a specific minimum age rather than none. Option C overstates the age requirement at 21, when 18 is the actual threshold once the high school or GED credential is also met.</w:t>
      </w:r>
    </w:p>
    <w:p>
      <w:pPr>
        <w:spacing w:after="80" w:before="220"/>
      </w:pPr>
      <w:r>
        <w:rPr>
          <w:rFonts w:ascii="Arial" w:cs="Arial" w:eastAsia="Arial" w:hAnsi="Arial"/>
          <w:b/>
          <w:bCs/>
          <w:color w:val="E5431F"/>
          <w:sz w:val="22"/>
          <w:szCs w:val="22"/>
        </w:rPr>
        <w:t xml:space="preserve">Q103.  </w:t>
      </w:r>
      <w:r>
        <w:rPr>
          <w:rFonts w:ascii="Arial" w:cs="Arial" w:eastAsia="Arial" w:hAnsi="Arial"/>
          <w:b/>
          <w:bCs/>
          <w:color w:val="16243E"/>
          <w:sz w:val="22"/>
          <w:szCs w:val="22"/>
        </w:rPr>
        <w:t xml:space="preserve">A candidate completes a 60-hour prelicense course through an online school based in another state and asks whether it satisfies Georgia's requirement to sit for the salesperson exam. What should this candidate be told?</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Yes, any 60-hour prelicense course from any state automatically satisfies Georgia's requirement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No — Georgia requires 100 hours of prelicense education regardless of where the course was taken</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No — Georgia requires 75 hours of GREC-approved prelicense education, and an out-of-state course must itself be GREC-approved to count toward that total</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Yes, because Georgia does not require prelicense courses to be state-approved</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Georgia requires 75 hours of GREC-approved prelicense education before a candidate is eligible to sit for the state salesperson exam, so a 60-hour course falls short on hours regardless of where it was taken, and more fundamentally, the course itself would need GREC approval to count at all. Option A is wrong on both the hour count and the approval requirement, and option D incorrectly claims Georgia doesn't require state approval, when approval is central to whether any course — in state or out — satisfies the requirement. Option B overstates the total at 100 hours, when Georgia's actual prelicense requirement is 75 hours.</w:t>
      </w:r>
    </w:p>
    <w:p>
      <w:pPr>
        <w:spacing w:after="80" w:before="220"/>
      </w:pPr>
      <w:r>
        <w:rPr>
          <w:rFonts w:ascii="Arial" w:cs="Arial" w:eastAsia="Arial" w:hAnsi="Arial"/>
          <w:b/>
          <w:bCs/>
          <w:color w:val="E5431F"/>
          <w:sz w:val="22"/>
          <w:szCs w:val="22"/>
        </w:rPr>
        <w:t xml:space="preserve">Q104.  </w:t>
      </w:r>
      <w:r>
        <w:rPr>
          <w:rFonts w:ascii="Arial" w:cs="Arial" w:eastAsia="Arial" w:hAnsi="Arial"/>
          <w:b/>
          <w:bCs/>
          <w:color w:val="16243E"/>
          <w:sz w:val="22"/>
          <w:szCs w:val="22"/>
        </w:rPr>
        <w:t xml:space="preserve">A salesperson is licensed on March 1 and, ten months later, still hasn't completed any post-license education, assuming they have until their license renewal — roughly two years away — to finish it. What consequence is this salesperson actually risking?</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None — post-license education isn't due until their first renewal, so they still have plenty of time</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Their license will lapse if they don't complete 25 hours of post-license education within one year of the original issue date, requiring them to surrender their license certificate and pocket card</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They'll be fined $500, but their license will remain active regardless of when the course is completed</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Post-license education is only required for brokers, not salespersons, so no action is needed</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Georgia requires a newly licensed salesperson to complete 25 hours of post-license education within one year of the original license issue date, so this salesperson — ten months in with nothing completed — is at real risk of their license lapsing and having to surrender their license certificate and pocket card if the deadline passes. Option A wrongly assumes post-license education can wait until the general renewal cycle, when it's actually tied to a one-year deadline from the original issue date, and option D is wrong because post-license education applies to newly licensed salespersons, not just brokers. Option C invents a fine-only consequence that doesn't reflect Georgia's actual rule, which ties continued licensure directly to completing the hours on time.</w:t>
      </w:r>
    </w:p>
    <w:p>
      <w:pPr>
        <w:spacing w:after="80" w:before="220"/>
      </w:pPr>
      <w:r>
        <w:rPr>
          <w:rFonts w:ascii="Arial" w:cs="Arial" w:eastAsia="Arial" w:hAnsi="Arial"/>
          <w:b/>
          <w:bCs/>
          <w:color w:val="E5431F"/>
          <w:sz w:val="22"/>
          <w:szCs w:val="22"/>
        </w:rPr>
        <w:t xml:space="preserve">Q105.  </w:t>
      </w:r>
      <w:r>
        <w:rPr>
          <w:rFonts w:ascii="Arial" w:cs="Arial" w:eastAsia="Arial" w:hAnsi="Arial"/>
          <w:b/>
          <w:bCs/>
          <w:color w:val="16243E"/>
          <w:sz w:val="22"/>
          <w:szCs w:val="22"/>
        </w:rPr>
        <w:t xml:space="preserve">A licensee renewed their license three years ago and has completed only 8 hours of continuing education so far, assuming they can finish the rest closer to the deadline. How many total CE hours must they complete, and by when, to renew on time?</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36 total hours within the four-year renewal cycle, meaning they need 28 more hours before their upcoming renewal</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8 hours per year is sufficient on its own, so they've already met the requirement</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20 hours every 2 years, meaning they're already past due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75 hours every 4 years, the same total as the prelicense requirement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Georgia licensees must complete 36 total hours of continuing education within each four-year renewal cycle, so this licensee, having completed only 8 hours with the cycle nearly over, still needs 28 more hours before their upcoming renewal. Option B is wrong because Georgia's requirement is a four-year total rather than a per-year minimum that resets annually, and option C misstates both the hour total and the cycle length. Option D confuses the ongoing CE requirement with the one-time 75-hour prelicense requirement, which is a separate, larger commitment completed before initial licensure rather than something repeated every renewal cycle.</w:t>
      </w:r>
    </w:p>
    <w:p>
      <w:pPr>
        <w:spacing w:after="80" w:before="220"/>
      </w:pPr>
      <w:r>
        <w:rPr>
          <w:rFonts w:ascii="Arial" w:cs="Arial" w:eastAsia="Arial" w:hAnsi="Arial"/>
          <w:b/>
          <w:bCs/>
          <w:color w:val="E5431F"/>
          <w:sz w:val="22"/>
          <w:szCs w:val="22"/>
        </w:rPr>
        <w:t xml:space="preserve">Q106.  </w:t>
      </w:r>
      <w:r>
        <w:rPr>
          <w:rFonts w:ascii="Arial" w:cs="Arial" w:eastAsia="Arial" w:hAnsi="Arial"/>
          <w:b/>
          <w:bCs/>
          <w:color w:val="16243E"/>
          <w:sz w:val="22"/>
          <w:szCs w:val="22"/>
        </w:rPr>
        <w:t xml:space="preserve">A consumer wins a $40,000 civil judgment against a Georgia broker for fraud in a single transaction, but the broker has no assets and cannot pay. If the consumer applies to the Real Estate Education, Research and Recovery Fund, what is the most they can actually recover from the Fund for this one claim?</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The full $40,000 judgment, since the Fund covers whatever amount a court awards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Nothing, because the Fund only covers criminal convictions, not civil judgments</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$25,000, since that is the Fund's per-claim (per-transaction) cap, regardless of the judgment amount</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$10,000, since that is the Fund's standard reimbursement limit for a licensee's own losses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The Recovery Fund compensates members of the public who obtain a court judgment against a licensee for fraud, misrepresentation, or dishonest dealing but can't collect because the licensee can't pay, and payouts are capped at $25,000 per claim or transaction regardless of how large the underlying judgment is — so this consumer could recover at most $25,000 of the $40,000 judgment. Option A wrongly assumes the Fund pays the full judgment amount, and option B is wrong because the Fund responds to civil judgments arising from a licensee's dishonest conduct, not criminal convictions. Option D confuses the Fund's consumer-protection purpose with reimbursing a licensee's own losses, which is not what the Fund exists to do.</w:t>
      </w:r>
    </w:p>
    <w:p>
      <w:pPr>
        <w:spacing w:after="80" w:before="220"/>
      </w:pPr>
      <w:r>
        <w:rPr>
          <w:rFonts w:ascii="Arial" w:cs="Arial" w:eastAsia="Arial" w:hAnsi="Arial"/>
          <w:b/>
          <w:bCs/>
          <w:color w:val="E5431F"/>
          <w:sz w:val="22"/>
          <w:szCs w:val="22"/>
        </w:rPr>
        <w:t xml:space="preserve">Q107.  </w:t>
      </w:r>
      <w:r>
        <w:rPr>
          <w:rFonts w:ascii="Arial" w:cs="Arial" w:eastAsia="Arial" w:hAnsi="Arial"/>
          <w:b/>
          <w:bCs/>
          <w:color w:val="16243E"/>
          <w:sz w:val="22"/>
          <w:szCs w:val="22"/>
        </w:rPr>
        <w:t xml:space="preserve">Multiple consumers file separate Recovery Fund claims against the same Georgia broker arising from several different transactions over the years. Even though each individual claim stays within the $25,000 per-claim cap, what additional limit applies to that broker's cumulative exposure to the Fund?</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There is no aggregate limit, only a per-claim limit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$25,000 in the aggregate, meaning only one claim can ever be paid against that licensee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$150,000 in the aggregate</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$75,000 in the aggregate against that one licensee, no matter how many separate claims or transactions are involved</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Beyond the $25,000 per-claim cap, Georgia law also limits the Recovery Fund's total payout against any single licensee to $75,000 in the aggregate, no matter how many separate claims or transactions are involved, which protects the Fund's overall solvency alongside its required $1 million minimum balance. Option A wrongly claims there's no aggregate limit at all, and option B incorrectly sets the aggregate cap equal to the per-claim cap, which would make it impossible for more than one claim to ever be paid against a licensee. Option C simply names a figure that doesn't match Georgia's actual $75,000 aggregate limit.</w:t>
      </w:r>
    </w:p>
    <w:p>
      <w:pPr>
        <w:spacing w:after="80" w:before="220"/>
      </w:pPr>
      <w:r>
        <w:rPr>
          <w:rFonts w:ascii="Arial" w:cs="Arial" w:eastAsia="Arial" w:hAnsi="Arial"/>
          <w:b/>
          <w:bCs/>
          <w:color w:val="E5431F"/>
          <w:sz w:val="22"/>
          <w:szCs w:val="22"/>
        </w:rPr>
        <w:t xml:space="preserve">Q108.  </w:t>
      </w:r>
      <w:r>
        <w:rPr>
          <w:rFonts w:ascii="Arial" w:cs="Arial" w:eastAsia="Arial" w:hAnsi="Arial"/>
          <w:b/>
          <w:bCs/>
          <w:color w:val="16243E"/>
          <w:sz w:val="22"/>
          <w:szCs w:val="22"/>
        </w:rPr>
        <w:t xml:space="preserve">A salesperson receives an earnest money check on a Friday afternoon and personally holds onto it over the weekend, planning to hand it to their broker on Monday morning on the reasoning that Monday is 'the next banking day.' Does this comply with Georgia's trust account turnover rules?</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No — Georgia's standard requires turning trust funds over to the broker "as soon after receipt as is practicably possible," not merely by the next banking day, so unnecessary delay could violate this rule even if Monday happens to be the next banking day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Yes, because "next banking day" is exactly the standard Georgia law sets</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Yes, because Georgia allows up to 10 calendar days for turning over trust funds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No, because Georgia requires funds to be deposited within 3 business days regardless of when they're turned over to the broker</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Georgia's actual rule requires a licensee to turn trust funds over to the broker "as soon after receipt as is practicably possible," a flexible standard rather than a fixed "next banking day" rule, so holding the check all weekend when turning it over sooner was practicable could itself violate the standard even though Monday is technically the next banking day. Option B repeats the common misconception that Georgia uses a fixed next-banking-day rule, which isn't the actual regulatory language, and option C invents a 10-day allowance that doesn't exist in Georgia's rule. Option D also misstates the standard by substituting a fixed 3-business-day figure for the practicable-possible standard that actually governs turnover to the broker.</w:t>
      </w:r>
    </w:p>
    <w:p>
      <w:pPr>
        <w:spacing w:after="80" w:before="220"/>
      </w:pPr>
      <w:r>
        <w:rPr>
          <w:rFonts w:ascii="Arial" w:cs="Arial" w:eastAsia="Arial" w:hAnsi="Arial"/>
          <w:b/>
          <w:bCs/>
          <w:color w:val="E5431F"/>
          <w:sz w:val="22"/>
          <w:szCs w:val="22"/>
        </w:rPr>
        <w:t xml:space="preserve">Q109.  </w:t>
      </w:r>
      <w:r>
        <w:rPr>
          <w:rFonts w:ascii="Arial" w:cs="Arial" w:eastAsia="Arial" w:hAnsi="Arial"/>
          <w:b/>
          <w:bCs/>
          <w:color w:val="16243E"/>
          <w:sz w:val="22"/>
          <w:szCs w:val="22"/>
        </w:rPr>
        <w:t xml:space="preserve">Two out-of-state licensees — one from South Carolina and one from Florida — both apply for a Georgia license through reciprocity, and both are in good standing with clean disciplinary records. What is most likely true about their respective paths to a Georgia license?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Reciprocity is only available to brokers, never to salespersons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Reciprocity is not available to any out-of-state licensee under any circumstances</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Georgia allows reciprocal licensing for out-of-state licensees in good standing, though Florida licensees must additionally pass a supplemental Georgia law exam</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Both applicants must complete the full 75-hour prelicense course regardless of their home state, since reciprocity doesn't shorten that requirement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Georgia's reciprocal licensing process lets an out-of-state licensee in good standing become licensed without repeating the full prelicense course, so the South Carolina applicant can generally proceed through standard reciprocity, but Florida is a notable exception where applicants must also pass a supplemental Georgia law exam before being licensed. Option A is wrong because reciprocity is available to qualifying salespersons as well as brokers, and option B is wrong because Georgia does offer a genuine reciprocity pathway. Option D misunderstands the entire purpose of reciprocity, which exists specifically so qualifying out-of-state applicants can skip repeating the full 75-hour course.</w:t>
      </w:r>
    </w:p>
    <w:p>
      <w:pPr>
        <w:spacing w:after="80" w:before="220"/>
      </w:pPr>
      <w:r>
        <w:rPr>
          <w:rFonts w:ascii="Arial" w:cs="Arial" w:eastAsia="Arial" w:hAnsi="Arial"/>
          <w:b/>
          <w:bCs/>
          <w:color w:val="E5431F"/>
          <w:sz w:val="22"/>
          <w:szCs w:val="22"/>
        </w:rPr>
        <w:t xml:space="preserve">Q110.  </w:t>
      </w:r>
      <w:r>
        <w:rPr>
          <w:rFonts w:ascii="Arial" w:cs="Arial" w:eastAsia="Arial" w:hAnsi="Arial"/>
          <w:b/>
          <w:bCs/>
          <w:color w:val="16243E"/>
          <w:sz w:val="22"/>
          <w:szCs w:val="22"/>
        </w:rPr>
        <w:t xml:space="preserve">GREC investigates a broker and finds eight separate license law violations within a single disciplinary proceeding. If each violation individually warrants the maximum civil fine allowed per violation, what is the most GREC could actually fine the broker in that one proceeding?</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$5,000, because even though $1,000 per violation across eight violations would total $8,000, Georgia law caps the total fine for a single disciplinary proceeding at $5,000</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$8,000, since $1,000 per violation applies with no cap on the total for a single proceeding</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$1,000, since only one violation can be fined per proceeding no matter how many are found</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There is no cap; GREC may fine any amount it deems appropriate for multiple violations</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Georgia caps GREC's civil fine authority at $1,000 per violation, but it also caps the total fine for a single disciplinary proceeding at $5,000, so even though eight violations at $1,000 each would mathematically total $8,000, the proceeding-wide cap limits the actual fine to $5,000. Option B ignores the $5,000 proceeding cap entirely, and option C incorrectly assumes only one violation can be fined per proceeding, when GREC can fine multiple violations up to the aggregate limit. Option D is wrong because Georgia law sets specific statutory caps rather than leaving the fine amount entirely to GREC's discretion.</w:t>
      </w:r>
    </w:p>
    <w:p>
      <w:pPr>
        <w:spacing w:after="80" w:before="220"/>
      </w:pPr>
      <w:r>
        <w:rPr>
          <w:rFonts w:ascii="Arial" w:cs="Arial" w:eastAsia="Arial" w:hAnsi="Arial"/>
          <w:b/>
          <w:bCs/>
          <w:color w:val="E5431F"/>
          <w:sz w:val="22"/>
          <w:szCs w:val="22"/>
        </w:rPr>
        <w:t xml:space="preserve">Q111.  </w:t>
      </w:r>
      <w:r>
        <w:rPr>
          <w:rFonts w:ascii="Arial" w:cs="Arial" w:eastAsia="Arial" w:hAnsi="Arial"/>
          <w:b/>
          <w:bCs/>
          <w:color w:val="16243E"/>
          <w:sz w:val="22"/>
          <w:szCs w:val="22"/>
        </w:rPr>
        <w:t xml:space="preserve">A broker's unlicensed personal assistant is asked to handle four things during a busy week: (1) confirm a showing appointment by phone, (2) hand out flyers the broker already designed and had printed, (3) sit alone at an open house and negotiate a possible price with a buyer while discussing the seller's motivation, and (4) file paperwork in the office. Which, if any, of these tasks would violate Georgia license law if performed by the unlicensed assistant?</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Only task 3 — negotiating price and discussing the seller's motivation with a buyer requires a license, while confirming an appointment, distributing pre-prepared flyers, and filing paperwork are permissible clerical tasks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None of the tasks violate the law, since the assistant works under a licensed broker's supervision</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Tasks 1 and 4 only, since phone calls and filing require specialized training</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All four tasks violate the law, because unlicensed persons cannot assist a licensee in any capacity</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An unlicensed assistant may lawfully perform purely clerical and administrative tasks such as confirming appointments, distributing pre-prepared marketing materials, and filing paperwork, none of which requires exercising real estate judgment, but negotiating price and discussing a seller's motivation with a buyer crosses into activity that requires a license — making task 3 the one that violates the law. Option B is wrong because broker supervision does not authorize an unlicensed person to perform licensed activities like negotiation, and option D overstates the restriction by treating purely clerical tasks as if they too required a license. Option C misidentifies which tasks are problematic, since phone calls and filing are exactly the kind of clerical work an unlicensed assistant may perform.</w:t>
      </w:r>
    </w:p>
    <w:p>
      <w:pPr>
        <w:spacing w:after="80" w:before="220"/>
      </w:pPr>
      <w:r>
        <w:rPr>
          <w:rFonts w:ascii="Arial" w:cs="Arial" w:eastAsia="Arial" w:hAnsi="Arial"/>
          <w:b/>
          <w:bCs/>
          <w:color w:val="E5431F"/>
          <w:sz w:val="22"/>
          <w:szCs w:val="22"/>
        </w:rPr>
        <w:t xml:space="preserve">Q112.  </w:t>
      </w:r>
      <w:r>
        <w:rPr>
          <w:rFonts w:ascii="Arial" w:cs="Arial" w:eastAsia="Arial" w:hAnsi="Arial"/>
          <w:b/>
          <w:bCs/>
          <w:color w:val="16243E"/>
          <w:sz w:val="22"/>
          <w:szCs w:val="22"/>
        </w:rPr>
        <w:t xml:space="preserve">A broker wants to pay a $500 'referral fee' to a client's unlicensed cousin, who happened to mention the brokerage to a friend who ended up buying a home, reasoning that the amount is small and it's a family connection rather than a business arrangement. Is this compensation lawful under Georgia license law?</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Yes, because the fee is under $1,000</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No — Georgia law prohibits paying compensation for brokerage activity, including referral fees, to anyone who does not hold a Georgia real estate license, regardless of the amount or relationship involved</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Yes, because referral fees are treated differently from commissions under Georgia law</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Yes, as long as the unlicensed person signs a written acknowledgment of the payment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Georgia law prohibits paying compensation for brokerage activity, including referral fees, to anyone who does not hold a Georgia real estate license, and that prohibition applies regardless of the dollar amount or the personal relationship involved, so this $500 payment to an unlicensed cousin would violate the law. Option A wrongly assumes a dollar threshold makes unlicensed compensation acceptable, and option C incorrectly treats referral fees as exempt from the licensing requirement that governs commissions. Option D is wrong because a written acknowledgment doesn't cure the underlying problem of paying an unlicensed person for brokerage-related activity.</w:t>
      </w:r>
    </w:p>
    <w:p>
      <w:pPr>
        <w:spacing w:after="80" w:before="220"/>
      </w:pPr>
      <w:r>
        <w:rPr>
          <w:rFonts w:ascii="Arial" w:cs="Arial" w:eastAsia="Arial" w:hAnsi="Arial"/>
          <w:b/>
          <w:bCs/>
          <w:color w:val="E5431F"/>
          <w:sz w:val="22"/>
          <w:szCs w:val="22"/>
        </w:rPr>
        <w:t xml:space="preserve">Q113.  </w:t>
      </w:r>
      <w:r>
        <w:rPr>
          <w:rFonts w:ascii="Arial" w:cs="Arial" w:eastAsia="Arial" w:hAnsi="Arial"/>
          <w:b/>
          <w:bCs/>
          <w:color w:val="16243E"/>
          <w:sz w:val="22"/>
          <w:szCs w:val="22"/>
        </w:rPr>
        <w:t xml:space="preserve">A broker holds a written property management agreement that the broker personally negotiated with a property owner. Under a separate written authorization from the broker spelling out the employee's exact duties, the broker's own employee (not the owner's employee) collects rent and delivers signed lease renewals to tenants, but doesn't negotiate lease terms or list units for rent. Does this employee need a Georgia real estate license to perform these specific tasks?</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Yes, because any activity involving rental property always requires a license, with no exceptions</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No — Georgia's exemption for a broker's employee applies here: the broker has a written management agreement procured from the owner, and the employee's specific tasks are explicitly authorized in a separate written agreement between the broker and that employee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No, because property management of any kind is entirely exempt from Georgia licensing requirements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Yes, but only if the property involved is commercial rather than residential</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Georgia generally requires a real estate license to manage property for others, but the law carves out a specific exemption for an employee of the broker — not the property owner — when the broker has a written management agreement procured directly from the owner and the employee's specific duties are explicitly authorized in a separate written agreement between the broker and that employee; both conditions are met here, so the exemption applies to these tasks. Option A overstates the rule by ignoring this exemption entirely, and option C goes too far the other way by claiming property management is always exempt, when a license is the general rule. Option D is wrong because the exemption isn't limited to commercial property — it turns on the broker's written agreement and written authorization to the employee, not the property type.</w:t>
      </w:r>
    </w:p>
    <w:p>
      <w:pPr>
        <w:spacing w:after="80" w:before="220"/>
      </w:pPr>
      <w:r>
        <w:rPr>
          <w:rFonts w:ascii="Arial" w:cs="Arial" w:eastAsia="Arial" w:hAnsi="Arial"/>
          <w:b/>
          <w:bCs/>
          <w:color w:val="E5431F"/>
          <w:sz w:val="22"/>
          <w:szCs w:val="22"/>
        </w:rPr>
        <w:t xml:space="preserve">Q114.  </w:t>
      </w:r>
      <w:r>
        <w:rPr>
          <w:rFonts w:ascii="Arial" w:cs="Arial" w:eastAsia="Arial" w:hAnsi="Arial"/>
          <w:b/>
          <w:bCs/>
          <w:color w:val="16243E"/>
          <w:sz w:val="22"/>
          <w:szCs w:val="22"/>
        </w:rPr>
        <w:t xml:space="preserve">A landlord refuses to rent to one applicant because of a housing voucher (source of income) and refuses a different applicant because that applicant has children (familial status). Assuming no local ordinance applies, which refusal violates a class protected under Georgia's fair housing law, which mirrors the federal Fair Housing Act?</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Only the familial-status refusal violates a protected class recognized under Georgia's fair housing law, since Georgia mirrors the same seven classes protected under federal law and has not added source of income as a state-level protected class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Both refusals violate Georgia fair housing law, since Georgia has added source of income as a protected class statewide</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Neither refusal violates the law, since Georgia opted out of federal fair housing protections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Only the source-of-income refusal violates the law, since familial status isn't a protected class in Georgia</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Georgia's fair housing law tracks the federal Fair Housing Act and protects the same seven classes — race, color, religion, sex, national origin, familial status, and disability — without adding source of income as an additional state-level protected class, so only the familial-status refusal violates a class Georgia actually protects. Option B incorrectly claims Georgia has added source of income statewide, which it has not done, and option C wrongly suggests Georgia opted out of federal protections altogether. Option D gets the analysis backwards by claiming familial status isn't protected, when it is one of the original seven classes Georgia's law mirrors from federal law.</w:t>
      </w:r>
    </w:p>
    <w:p>
      <w:pPr>
        <w:spacing w:after="80" w:before="220"/>
      </w:pPr>
      <w:r>
        <w:rPr>
          <w:rFonts w:ascii="Arial" w:cs="Arial" w:eastAsia="Arial" w:hAnsi="Arial"/>
          <w:b/>
          <w:bCs/>
          <w:color w:val="E5431F"/>
          <w:sz w:val="22"/>
          <w:szCs w:val="22"/>
        </w:rPr>
        <w:t xml:space="preserve">Q115.  </w:t>
      </w:r>
      <w:r>
        <w:rPr>
          <w:rFonts w:ascii="Arial" w:cs="Arial" w:eastAsia="Arial" w:hAnsi="Arial"/>
          <w:b/>
          <w:bCs/>
          <w:color w:val="16243E"/>
          <w:sz w:val="22"/>
          <w:szCs w:val="22"/>
        </w:rPr>
        <w:t xml:space="preserve">A licensee places their Georgia license on inactive status while taking a few years off from real estate, but they still personally own a rental duplex. Which of the following would this inactive licensee still be permitted to do?</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They may list and manage other clients' rental properties, as long as they don't advertise publicly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They may continue practicing as if their license were active, since inactive status carries no real restrictions</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They may handle a lease or sale transaction involving the duplex they personally own, but they must still renew their license and report any address change within the required time period</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They may not engage in any real estate related activity at all, including transactions involving property they personally own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An inactive Georgia licensee may not perform licensed activity on behalf of others, but a narrow exception allows them to handle transactions involving property they personally own, such as their duplex, and they must still renew their license, pay applicable fees, and report an address change within the required time period even while inactive. Option A is wrong because inactive status specifically bars representing other clients regardless of advertising, and option B wrongly treats inactive status as having no real restrictions. Option D overstates the restriction by suggesting the licensee can't even handle their own property, when that personal-property exception is exactly what inactive status preserves.</w:t>
      </w:r>
    </w:p>
    <w:p>
      <w:pPr>
        <w:spacing w:after="80" w:before="220"/>
      </w:pPr>
      <w:r>
        <w:rPr>
          <w:rFonts w:ascii="Arial" w:cs="Arial" w:eastAsia="Arial" w:hAnsi="Arial"/>
          <w:b/>
          <w:bCs/>
          <w:color w:val="E5431F"/>
          <w:sz w:val="22"/>
          <w:szCs w:val="22"/>
        </w:rPr>
        <w:t xml:space="preserve">Q116.  </w:t>
      </w:r>
      <w:r>
        <w:rPr>
          <w:rFonts w:ascii="Arial" w:cs="Arial" w:eastAsia="Arial" w:hAnsi="Arial"/>
          <w:b/>
          <w:bCs/>
          <w:color w:val="16243E"/>
          <w:sz w:val="22"/>
          <w:szCs w:val="22"/>
        </w:rPr>
        <w:t xml:space="preserve">A property management company hires someone specifically to manage a homeowners' association's finances, vendor contracts, and common-area maintenance for a fee, assuming that a standard salesperson license covers this role. Is that assumption correct under Georgia law?</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Yes, since Georgia folds community association management into the standard salesperson license</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No, because Georgia exempts community association managers from licensure entirely</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Yes, but only if the association has fewer than 500 units</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No — Georgia maintains a distinct Community Association Manager (CAM) license category, separate from the salesperson and broker licenses, so a standard salesperson license alone does not authorize this role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Georgia maintains a distinct Community Association Manager, or CAM, license category, separate from the standard salesperson and broker licenses, for individuals who manage homeowners' or condominium associations for compensation, so a standard salesperson license alone would not authorize this specific role. Option A incorrectly assumes CAM work is folded into the salesperson license, and option B is wrong because CAM work is not exempt from licensure — it simply requires its own license category. Option C invents a unit-count threshold that doesn't determine whether the CAM license category applies.</w:t>
      </w:r>
    </w:p>
    <w:p>
      <w:pPr>
        <w:spacing w:after="80" w:before="220"/>
      </w:pPr>
      <w:r>
        <w:rPr>
          <w:rFonts w:ascii="Arial" w:cs="Arial" w:eastAsia="Arial" w:hAnsi="Arial"/>
          <w:b/>
          <w:bCs/>
          <w:color w:val="E5431F"/>
          <w:sz w:val="22"/>
          <w:szCs w:val="22"/>
        </w:rPr>
        <w:t xml:space="preserve">Q117.  </w:t>
      </w:r>
      <w:r>
        <w:rPr>
          <w:rFonts w:ascii="Arial" w:cs="Arial" w:eastAsia="Arial" w:hAnsi="Arial"/>
          <w:b/>
          <w:bCs/>
          <w:color w:val="16243E"/>
          <w:sz w:val="22"/>
          <w:szCs w:val="22"/>
        </w:rPr>
        <w:t xml:space="preserve">After a lengthy investigation, GREC finds that a broker committed serious, repeated license law violations. A frustrated consumer asks why GREC doesn't simply 'put him in jail.' What is the most accurate explanation of GREC's actual disciplinary authority here?</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GREC can reprimand, suspend, revoke, or downgrade the broker's license and impose civil fines within statutory limits, but sentencing the broker to jail time is not among GREC's administrative powers — criminal penalties would have to be pursued separately through the courts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GREC can sentence a broker to jail time directly as part of its administrative disciplinary powers</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GREC has no meaningful disciplinary powers at all beyond issuing informal warnings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GREC can only revoke a license and has no authority to reprimand, suspend, or fine a licensee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GREC can reprimand a licensee, suspend or revoke a license, downgrade a broker's license to salesperson status, and impose civil fines within statutory limits, but it is an administrative licensing body without authority to sentence anyone to jail time directly — criminal penalties for conduct like unlicensed practice would have to be pursued separately through the criminal courts. Option B incorrectly grants GREC a jailing power it does not have, and option C understates GREC's real disciplinary toolkit, which includes several substantive remedies beyond warnings. Option D also understates GREC's authority by limiting it to revocation alone, when reprimand, suspension, downgrading, and fines are all available tools as well.</w:t>
      </w:r>
    </w:p>
    <w:p>
      <w:pPr>
        <w:spacing w:after="80" w:before="220"/>
      </w:pPr>
      <w:r>
        <w:rPr>
          <w:rFonts w:ascii="Arial" w:cs="Arial" w:eastAsia="Arial" w:hAnsi="Arial"/>
          <w:b/>
          <w:bCs/>
          <w:color w:val="E5431F"/>
          <w:sz w:val="22"/>
          <w:szCs w:val="22"/>
        </w:rPr>
        <w:t xml:space="preserve">Q118.  </w:t>
      </w:r>
      <w:r>
        <w:rPr>
          <w:rFonts w:ascii="Arial" w:cs="Arial" w:eastAsia="Arial" w:hAnsi="Arial"/>
          <w:b/>
          <w:bCs/>
          <w:color w:val="16243E"/>
          <w:sz w:val="22"/>
          <w:szCs w:val="22"/>
        </w:rPr>
        <w:t xml:space="preserve">A real estate firm operates with fifteen affiliated salespersons across two office locations, and the firm's owner is not a licensee and does not personally supervise day-to-day activity. Under Georgia law, who is legally responsible for ensuring the firm's licensees are properly supervised and compliant with license law?</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No one specifically — supervision is a shared, informal responsibility among all licensees at the firm</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Each salesperson individually, with no broker-level supervisory requirement</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The firm's qualifying broker, who is legally responsible for supervising affiliated licensees and the firm's compliance, regardless of the firm's size or number of locations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GREC directly supervises each firm's day-to-day operations rather than requiring an internal supervisory role</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Every Georgia real estate firm must have a qualifying broker, who is held legally responsible for supervising the licensees affiliated with the firm and for the firm's overall compliance with license law, regardless of how many licensees or office locations the firm has. Option A wrongly treats supervision as informal and shared rather than a specific, legally assigned responsibility, and option B incorrectly removes broker-level accountability entirely. Option D is wrong because GREC regulates and disciplines at the licensing level rather than directly managing each firm's daily internal supervision, which is the qualifying broker's role.</w:t>
      </w:r>
    </w:p>
    <w:p>
      <w:pPr>
        <w:spacing w:after="80" w:before="220"/>
      </w:pPr>
      <w:r>
        <w:rPr>
          <w:rFonts w:ascii="Arial" w:cs="Arial" w:eastAsia="Arial" w:hAnsi="Arial"/>
          <w:b/>
          <w:bCs/>
          <w:color w:val="E5431F"/>
          <w:sz w:val="22"/>
          <w:szCs w:val="22"/>
        </w:rPr>
        <w:t xml:space="preserve">Q119.  </w:t>
      </w:r>
      <w:r>
        <w:rPr>
          <w:rFonts w:ascii="Arial" w:cs="Arial" w:eastAsia="Arial" w:hAnsi="Arial"/>
          <w:b/>
          <w:bCs/>
          <w:color w:val="16243E"/>
          <w:sz w:val="22"/>
          <w:szCs w:val="22"/>
        </w:rPr>
        <w:t xml:space="preserve">A licensee moves to a new home in July but doesn't update their address with GREC, planning to update it whenever they next renew their license, which isn't due for another 18 months. Is waiting until renewal acceptable under Georgia law?</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Yes, since address updates only need to happen at renewal</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No — Georgia law requires licensees to report an address change to GREC within the time period the law specifies, rather than waiting until the next renewal</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Yes, since GREC does not track licensee addresses between renewal cycles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No, but only because the licensee should have notified their local county tax office instead of GREC</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Georgia licensees must keep GREC informed of a current address and are required to report an address change within the time period the law specifies, rather than waiting until their next renewal, so this licensee's plan to wait 18 months would not comply with that requirement. Option A wrongly assumes address updates are tied only to the renewal cycle, and option C incorrectly claims GREC doesn't track addresses between renewals, when maintaining accurate licensee records is part of GREC's ongoing role. Option D misdirects the obligation to a county tax office, which has no role in maintaining state real estate license records.</w:t>
      </w:r>
    </w:p>
    <w:p>
      <w:pPr>
        <w:spacing w:after="80" w:before="220"/>
      </w:pPr>
      <w:r>
        <w:rPr>
          <w:rFonts w:ascii="Arial" w:cs="Arial" w:eastAsia="Arial" w:hAnsi="Arial"/>
          <w:b/>
          <w:bCs/>
          <w:color w:val="E5431F"/>
          <w:sz w:val="22"/>
          <w:szCs w:val="22"/>
        </w:rPr>
        <w:t xml:space="preserve">Q120.  </w:t>
      </w:r>
      <w:r>
        <w:rPr>
          <w:rFonts w:ascii="Arial" w:cs="Arial" w:eastAsia="Arial" w:hAnsi="Arial"/>
          <w:b/>
          <w:bCs/>
          <w:color w:val="16243E"/>
          <w:sz w:val="22"/>
          <w:szCs w:val="22"/>
        </w:rPr>
        <w:t xml:space="preserve">An unlicensed individual arranges a single sale between a buyer and seller and accepts a $3,000 finder's fee for doing so, reasoning that because it was 'just one deal,' it shouldn't be treated seriously. What is this person's actual legal exposure under Georgia license law?</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Nothing, because an isolated, one-time transaction is exempt from Georgia's licensing requirements</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This constitutes unlicensed brokerage activity for compensation, which violates Georgia license law and can carry legal consequences, including potential criminal penalties, regardless of how many transactions were involved</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A late licensing fee is owed to GREC, but no other consequence applies</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The transaction becomes valid once a licensed broker later agrees to 'ratify' it after the fact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Engaging in real estate brokerage activity for compensation without a license violates Georgia license law and can expose the unlicensed person to legal action, including potential criminal penalties, and there is no exception for a single, isolated transaction — the requirement to be licensed applies from the moment compensated brokerage activity begins. Option A incorrectly assumes a one-time deal is exempt, and option D is wrong because there is no mechanism for a broker to retroactively 'ratify' unlicensed activity and make it lawful after the fact. Option C understates the seriousness of the violation by treating it as merely a fee owed to GREC rather than a genuine license law violation with potential criminal exposure.</w:t>
      </w:r>
    </w:p>
    <w:p>
      <w:pPr>
        <w:spacing w:after="80" w:before="220"/>
      </w:pPr>
      <w:r>
        <w:rPr>
          <w:rFonts w:ascii="Arial" w:cs="Arial" w:eastAsia="Arial" w:hAnsi="Arial"/>
          <w:b/>
          <w:bCs/>
          <w:color w:val="E5431F"/>
          <w:sz w:val="22"/>
          <w:szCs w:val="22"/>
        </w:rPr>
        <w:t xml:space="preserve">Q121.  </w:t>
      </w:r>
      <w:r>
        <w:rPr>
          <w:rFonts w:ascii="Arial" w:cs="Arial" w:eastAsia="Arial" w:hAnsi="Arial"/>
          <w:b/>
          <w:bCs/>
          <w:color w:val="16243E"/>
          <w:sz w:val="22"/>
          <w:szCs w:val="22"/>
        </w:rPr>
        <w:t xml:space="preserve">Several competing brokerages in a local market informally agree to all charge sellers the same 6% commission rate and to publish that rate publicly "for transparency." Does publicly disclosing the agreed rate make this arrangement lawful?</w:t>
      </w:r>
    </w:p>
    <w:p>
      <w:pPr>
        <w:spacing w:after="40"/>
        <w:ind w:left="300"/>
      </w:pPr>
      <w:r>
        <w:rPr>
          <w:rFonts w:ascii="Arial" w:cs="Arial" w:eastAsia="Arial" w:hAnsi="Arial"/>
          <w:b/>
          <w:bCs/>
          <w:color w:val="2E7D46"/>
          <w:sz w:val="20"/>
          <w:szCs w:val="20"/>
        </w:rPr>
        <w:t xml:space="preserve">✓ A.  </w:t>
      </w:r>
      <w:r>
        <w:rPr>
          <w:rFonts w:ascii="Arial" w:cs="Arial" w:eastAsia="Arial" w:hAnsi="Arial"/>
          <w:b/>
          <w:bCs/>
          <w:color w:val="2E7D46"/>
          <w:sz w:val="20"/>
          <w:szCs w:val="20"/>
        </w:rPr>
        <w:t xml:space="preserve">No — commission rates must remain individually negotiable, and an agreement among competing, independent brokerages to fix a rate is illegal price-fixing under federal antitrust law (the Sherman Act), regardless of whether the rate is disclosed publicly</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Yes, publishing the rate publicly satisfies any disclosure requirement and makes the agreement lawful</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Yes, as long as a local board of REALTORS formally approves the agreed rate</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Yes, but only for transactions involving luxury properties above a certain price point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A.  </w:t>
      </w:r>
      <w:r>
        <w:rPr>
          <w:rFonts w:ascii="Arial" w:cs="Arial" w:eastAsia="Arial" w:hAnsi="Arial"/>
          <w:color w:val="333333"/>
          <w:sz w:val="19"/>
          <w:szCs w:val="19"/>
        </w:rPr>
        <w:t xml:space="preserve">Real estate commission rates must remain individually negotiable between each broker and client, and an agreement among competing, independent brokerages to charge a fixed rate is illegal price-fixing under federal antitrust law, regardless of whether the rate is disclosed publicly — public disclosure of an illegal agreement doesn't make the underlying agreement lawful. Option B wrongly treats public disclosure as a legal safe harbor for price-fixing, and option C is wrong because a local board of REALTORS has no authority to approve or sanction a fixed-rate agreement among competing firms. Option D invents a luxury-property exception that doesn't exist — the prohibition on fixing commission rates applies without regard to price point.</w:t>
      </w:r>
    </w:p>
    <w:p>
      <w:pPr>
        <w:spacing w:after="80" w:before="220"/>
      </w:pPr>
      <w:r>
        <w:rPr>
          <w:rFonts w:ascii="Arial" w:cs="Arial" w:eastAsia="Arial" w:hAnsi="Arial"/>
          <w:b/>
          <w:bCs/>
          <w:color w:val="E5431F"/>
          <w:sz w:val="22"/>
          <w:szCs w:val="22"/>
        </w:rPr>
        <w:t xml:space="preserve">Q122.  </w:t>
      </w:r>
      <w:r>
        <w:rPr>
          <w:rFonts w:ascii="Arial" w:cs="Arial" w:eastAsia="Arial" w:hAnsi="Arial"/>
          <w:b/>
          <w:bCs/>
          <w:color w:val="16243E"/>
          <w:sz w:val="22"/>
          <w:szCs w:val="22"/>
        </w:rPr>
        <w:t xml:space="preserve">A buyer, impressed with a salesperson's work, tries to pay that salesperson directly and in cash at closing, bypassing the brokerage's standard paperwork. Should the salesperson accept this payment under Georgia license law?</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Yes, as long as the salesperson reports the cash payment to the IRS themselves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Yes, since salespersons may accept payment however a grateful client prefers</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No, but only because cash payments specifically are barred; a personal check directly from the buyer would be fine</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No — Georgia treats accepting compensation from anyone other than the salesperson's own sponsoring broker without that broker's consent as a violation, so this direct, under-the-table cash payment — arranged without the broker's knowledge — should not be accepted</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Georgia law makes it a violation for a salesperson to accept commission or other compensation from anyone other than their own sponsoring broker without that broker's consent, and this buyer's direct cash payment has neither gone through nor been consented to by the broker, so the salesperson should decline it. Option B wrongly treats direct payment as acceptable simply because the client prefers it, and option A wrongly assumes proper tax reporting alone makes an otherwise improper, unconsented direct payment acceptable. Option C is wrong because the problem isn't the form of payment being cash specifically — a personal check accepted the same way, without the broker's knowledge or consent, would raise the identical issue.</w:t>
      </w:r>
    </w:p>
    <w:p>
      <w:pPr>
        <w:spacing w:after="80" w:before="220"/>
      </w:pPr>
      <w:r>
        <w:rPr>
          <w:rFonts w:ascii="Arial" w:cs="Arial" w:eastAsia="Arial" w:hAnsi="Arial"/>
          <w:b/>
          <w:bCs/>
          <w:color w:val="E5431F"/>
          <w:sz w:val="22"/>
          <w:szCs w:val="22"/>
        </w:rPr>
        <w:t xml:space="preserve">Q123.  </w:t>
      </w:r>
      <w:r>
        <w:rPr>
          <w:rFonts w:ascii="Arial" w:cs="Arial" w:eastAsia="Arial" w:hAnsi="Arial"/>
          <w:b/>
          <w:bCs/>
          <w:color w:val="16243E"/>
          <w:sz w:val="22"/>
          <w:szCs w:val="22"/>
        </w:rPr>
        <w:t xml:space="preserve">A salesperson personally collects an earnest money check from a buyer and promptly turns it over to their broker's office, where it is later discovered that the trust account wasn't properly reconciled for several months. Who bears legal responsibility for that trust account failure?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The salesperson who originally collected the check, since they had first custody of the funds</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The buyer's lender, since the funds were ultimately tied to the loan transaction</w:t>
      </w:r>
    </w:p>
    <w:p>
      <w:pPr>
        <w:spacing w:after="40"/>
        <w:ind w:left="300"/>
      </w:pPr>
      <w:r>
        <w:rPr>
          <w:rFonts w:ascii="Arial" w:cs="Arial" w:eastAsia="Arial" w:hAnsi="Arial"/>
          <w:b/>
          <w:bCs/>
          <w:color w:val="2E7D46"/>
          <w:sz w:val="20"/>
          <w:szCs w:val="20"/>
        </w:rPr>
        <w:t xml:space="preserve">✓ C.  </w:t>
      </w:r>
      <w:r>
        <w:rPr>
          <w:rFonts w:ascii="Arial" w:cs="Arial" w:eastAsia="Arial" w:hAnsi="Arial"/>
          <w:b/>
          <w:bCs/>
          <w:color w:val="2E7D46"/>
          <w:sz w:val="20"/>
          <w:szCs w:val="20"/>
        </w:rPr>
        <w:t xml:space="preserve">The broker, since Georgia law places responsibility for establishing and maintaining the firm's trust account on the broker rather than an individual salesperson who properly turned funds over</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GREC itself, since it is the regulator overseeing all trust accounts directly</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C.  </w:t>
      </w:r>
      <w:r>
        <w:rPr>
          <w:rFonts w:ascii="Arial" w:cs="Arial" w:eastAsia="Arial" w:hAnsi="Arial"/>
          <w:color w:val="333333"/>
          <w:sz w:val="19"/>
          <w:szCs w:val="19"/>
        </w:rPr>
        <w:t xml:space="preserve">Georgia law places responsibility for establishing and maintaining a firm's trust account on the broker, not an individual salesperson, so once this salesperson promptly turned the earnest money over as required, responsibility for the account's subsequent mishandling rests with the broker. Option A incorrectly shifts blame to the salesperson simply because they had first custody of the funds, even though they complied with their own turnover obligation, and option B is wrong because a buyer's lender has no role in maintaining a brokerage's trust account. Option D is also incorrect — GREC regulates and can investigate trust account compliance, but it does not itself hold or manage individual brokerage trust accounts.</w:t>
      </w:r>
    </w:p>
    <w:p>
      <w:pPr>
        <w:spacing w:after="80" w:before="220"/>
      </w:pPr>
      <w:r>
        <w:rPr>
          <w:rFonts w:ascii="Arial" w:cs="Arial" w:eastAsia="Arial" w:hAnsi="Arial"/>
          <w:b/>
          <w:bCs/>
          <w:color w:val="E5431F"/>
          <w:sz w:val="22"/>
          <w:szCs w:val="22"/>
        </w:rPr>
        <w:t xml:space="preserve">Q124.  </w:t>
      </w:r>
      <w:r>
        <w:rPr>
          <w:rFonts w:ascii="Arial" w:cs="Arial" w:eastAsia="Arial" w:hAnsi="Arial"/>
          <w:b/>
          <w:bCs/>
          <w:color w:val="16243E"/>
          <w:sz w:val="22"/>
          <w:szCs w:val="22"/>
        </w:rPr>
        <w:t xml:space="preserve">A licensee completes their required continuing education hours entirely through courses on sales technique, marketing, and technology tools, with no coursework specifically addressing Georgia real estate license law. Does this satisfy Georgia's CE requirement?</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Yes, since any real-estate-related coursework counts equally toward CE hours regardless of subject</w:t>
      </w:r>
    </w:p>
    <w:p>
      <w:pPr>
        <w:spacing w:after="40"/>
        <w:ind w:left="300"/>
      </w:pPr>
      <w:r>
        <w:rPr>
          <w:rFonts w:ascii="Arial" w:cs="Arial" w:eastAsia="Arial" w:hAnsi="Arial"/>
          <w:b w:val="false"/>
          <w:bCs w:val="false"/>
          <w:color w:val="333333"/>
          <w:sz w:val="20"/>
          <w:szCs w:val="20"/>
        </w:rPr>
        <w:t xml:space="preserve">   B.  </w:t>
      </w:r>
      <w:r>
        <w:rPr>
          <w:rFonts w:ascii="Arial" w:cs="Arial" w:eastAsia="Arial" w:hAnsi="Arial"/>
          <w:b w:val="false"/>
          <w:bCs w:val="false"/>
          <w:color w:val="333333"/>
          <w:sz w:val="20"/>
          <w:szCs w:val="20"/>
        </w:rPr>
        <w:t xml:space="preserve">Yes, because Georgia does not require any particular subject matter for continuing education</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No, but only because technology courses specifically are excluded from CE credit</w:t>
      </w:r>
    </w:p>
    <w:p>
      <w:pPr>
        <w:spacing w:after="40"/>
        <w:ind w:left="300"/>
      </w:pPr>
      <w:r>
        <w:rPr>
          <w:rFonts w:ascii="Arial" w:cs="Arial" w:eastAsia="Arial" w:hAnsi="Arial"/>
          <w:b/>
          <w:bCs/>
          <w:color w:val="2E7D46"/>
          <w:sz w:val="20"/>
          <w:szCs w:val="20"/>
        </w:rPr>
        <w:t xml:space="preserve">✓ D.  </w:t>
      </w:r>
      <w:r>
        <w:rPr>
          <w:rFonts w:ascii="Arial" w:cs="Arial" w:eastAsia="Arial" w:hAnsi="Arial"/>
          <w:b/>
          <w:bCs/>
          <w:color w:val="2E7D46"/>
          <w:sz w:val="20"/>
          <w:szCs w:val="20"/>
        </w:rPr>
        <w:t xml:space="preserve">No — Georgia's CE requirement specifically mandates coursework covering Georgia real estate license law as part of the required hours, so general skills courses alone would not fulfill that specific component</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D.  </w:t>
      </w:r>
      <w:r>
        <w:rPr>
          <w:rFonts w:ascii="Arial" w:cs="Arial" w:eastAsia="Arial" w:hAnsi="Arial"/>
          <w:color w:val="333333"/>
          <w:sz w:val="19"/>
          <w:szCs w:val="19"/>
        </w:rPr>
        <w:t xml:space="preserve">Georgia's continuing education requirement specifically mandates coursework covering Georgia real estate license law as part of the required hours, so completing only general sales, marketing, and technology courses — with no license law content — would not fully satisfy the requirement. Option A wrongly assumes all real-estate-related coursework counts equally regardless of subject matter, and option B incorrectly claims Georgia has no subject-matter requirements at all for CE. Option C correctly reaches a 'no' conclusion but for the wrong reason — the problem isn't that technology courses are excluded, it's that license law coursework specifically is missing.</w:t>
      </w:r>
    </w:p>
    <w:p>
      <w:pPr>
        <w:spacing w:after="80" w:before="220"/>
      </w:pPr>
      <w:r>
        <w:rPr>
          <w:rFonts w:ascii="Arial" w:cs="Arial" w:eastAsia="Arial" w:hAnsi="Arial"/>
          <w:b/>
          <w:bCs/>
          <w:color w:val="E5431F"/>
          <w:sz w:val="22"/>
          <w:szCs w:val="22"/>
        </w:rPr>
        <w:t xml:space="preserve">Q125.  </w:t>
      </w:r>
      <w:r>
        <w:rPr>
          <w:rFonts w:ascii="Arial" w:cs="Arial" w:eastAsia="Arial" w:hAnsi="Arial"/>
          <w:b/>
          <w:bCs/>
          <w:color w:val="16243E"/>
          <w:sz w:val="22"/>
          <w:szCs w:val="22"/>
        </w:rPr>
        <w:t xml:space="preserve">An attorney researching a real estate licensing dispute wants to cite the specific Georgia statute governing GREC's authority, licensing requirements, and the Recovery Fund. Which title and chapter of the Official Code of Georgia Annotated (O.C.G.A.) should they cite?</w:t>
      </w:r>
    </w:p>
    <w:p>
      <w:pPr>
        <w:spacing w:after="40"/>
        <w:ind w:left="300"/>
      </w:pPr>
      <w:r>
        <w:rPr>
          <w:rFonts w:ascii="Arial" w:cs="Arial" w:eastAsia="Arial" w:hAnsi="Arial"/>
          <w:b w:val="false"/>
          <w:bCs w:val="false"/>
          <w:color w:val="333333"/>
          <w:sz w:val="20"/>
          <w:szCs w:val="20"/>
        </w:rPr>
        <w:t xml:space="preserve">   A.  </w:t>
      </w:r>
      <w:r>
        <w:rPr>
          <w:rFonts w:ascii="Arial" w:cs="Arial" w:eastAsia="Arial" w:hAnsi="Arial"/>
          <w:b w:val="false"/>
          <w:bCs w:val="false"/>
          <w:color w:val="333333"/>
          <w:sz w:val="20"/>
          <w:szCs w:val="20"/>
        </w:rPr>
        <w:t xml:space="preserve">Title 44, Chapter 5, which governs general property law rather than licensing</w:t>
      </w:r>
    </w:p>
    <w:p>
      <w:pPr>
        <w:spacing w:after="40"/>
        <w:ind w:left="300"/>
      </w:pPr>
      <w:r>
        <w:rPr>
          <w:rFonts w:ascii="Arial" w:cs="Arial" w:eastAsia="Arial" w:hAnsi="Arial"/>
          <w:b/>
          <w:bCs/>
          <w:color w:val="2E7D46"/>
          <w:sz w:val="20"/>
          <w:szCs w:val="20"/>
        </w:rPr>
        <w:t xml:space="preserve">✓ B.  </w:t>
      </w:r>
      <w:r>
        <w:rPr>
          <w:rFonts w:ascii="Arial" w:cs="Arial" w:eastAsia="Arial" w:hAnsi="Arial"/>
          <w:b/>
          <w:bCs/>
          <w:color w:val="2E7D46"/>
          <w:sz w:val="20"/>
          <w:szCs w:val="20"/>
        </w:rPr>
        <w:t xml:space="preserve">Title 43, Chapter 40, the title and chapter that codifies Georgia's real estate license law</w:t>
      </w:r>
    </w:p>
    <w:p>
      <w:pPr>
        <w:spacing w:after="40"/>
        <w:ind w:left="300"/>
      </w:pPr>
      <w:r>
        <w:rPr>
          <w:rFonts w:ascii="Arial" w:cs="Arial" w:eastAsia="Arial" w:hAnsi="Arial"/>
          <w:b w:val="false"/>
          <w:bCs w:val="false"/>
          <w:color w:val="333333"/>
          <w:sz w:val="20"/>
          <w:szCs w:val="20"/>
        </w:rPr>
        <w:t xml:space="preserve">   C.  </w:t>
      </w:r>
      <w:r>
        <w:rPr>
          <w:rFonts w:ascii="Arial" w:cs="Arial" w:eastAsia="Arial" w:hAnsi="Arial"/>
          <w:b w:val="false"/>
          <w:bCs w:val="false"/>
          <w:color w:val="333333"/>
          <w:sz w:val="20"/>
          <w:szCs w:val="20"/>
        </w:rPr>
        <w:t xml:space="preserve">Title 8, Chapter 3, which is unrelated to real estate licensing</w:t>
      </w:r>
    </w:p>
    <w:p>
      <w:pPr>
        <w:spacing w:after="40"/>
        <w:ind w:left="300"/>
      </w:pPr>
      <w:r>
        <w:rPr>
          <w:rFonts w:ascii="Arial" w:cs="Arial" w:eastAsia="Arial" w:hAnsi="Arial"/>
          <w:b w:val="false"/>
          <w:bCs w:val="false"/>
          <w:color w:val="333333"/>
          <w:sz w:val="20"/>
          <w:szCs w:val="20"/>
        </w:rPr>
        <w:t xml:space="preserve">   D.  </w:t>
      </w:r>
      <w:r>
        <w:rPr>
          <w:rFonts w:ascii="Arial" w:cs="Arial" w:eastAsia="Arial" w:hAnsi="Arial"/>
          <w:b w:val="false"/>
          <w:bCs w:val="false"/>
          <w:color w:val="333333"/>
          <w:sz w:val="20"/>
          <w:szCs w:val="20"/>
        </w:rPr>
        <w:t xml:space="preserve">Title 48, Chapter 13, which addresses state and local revenue and taxation</w:t>
      </w:r>
    </w:p>
    <w:p>
      <w:pPr>
        <w:pBdr>
          <w:left w:val="single" w:color="E5431F" w:sz="24" w:space="8"/>
        </w:pBdr>
        <w:shd w:fill="F4F1E6" w:val="clear"/>
        <w:spacing w:after="200" w:before="80"/>
        <w:ind w:left="300"/>
      </w:pPr>
      <w:r>
        <w:rPr>
          <w:rFonts w:ascii="Arial" w:cs="Arial" w:eastAsia="Arial" w:hAnsi="Arial"/>
          <w:b/>
          <w:bCs/>
          <w:color w:val="16243E"/>
          <w:sz w:val="19"/>
          <w:szCs w:val="19"/>
        </w:rPr>
        <w:t xml:space="preserve">Correct Answer: B.  </w:t>
      </w:r>
      <w:r>
        <w:rPr>
          <w:rFonts w:ascii="Arial" w:cs="Arial" w:eastAsia="Arial" w:hAnsi="Arial"/>
          <w:color w:val="333333"/>
          <w:sz w:val="19"/>
          <w:szCs w:val="19"/>
        </w:rPr>
        <w:t xml:space="preserve">Georgia's real estate license law is codified at O.C.G.A. Title 43, Chapter 40, which contains the statutes governing GREC's structure, licensing requirements, trust account rules, disciplinary authority, and the Recovery Fund. Title 44 covers general property law topics like deeds and estates rather than licensing, which rules out option A, and Title 48 addresses revenue and taxation matters such as local occupation taxes, which rules out option D. Title 8 does not relate to real estate licensing at all, so option C is simply incorrect.</w:t>
      </w:r>
    </w:p>
    <w:p>
      <w:pPr>
        <w:sectPr>
          <w:footerReference w:type="default" r:id="rId8"/>
          <w:pgSz w:w="12240" w:h="15840" w:orient="portrait"/>
          <w:pgMar w:top="1000" w:right="1200" w:bottom="1000" w:left="1200" w:header="708" w:footer="708" w:gutter="0"/>
          <w:pgNumType/>
          <w:docGrid w:linePitch="360"/>
        </w:sectPr>
      </w:pPr>
    </w:p>
    <w:p>
      <w:pPr>
        <w:pStyle w:val="Heading1"/>
        <w:pBdr>
          <w:bottom w:val="single" w:color="E5431F" w:sz="12" w:space="4"/>
        </w:pBdr>
        <w:spacing w:after="100" w:before="0"/>
      </w:pPr>
      <w:r>
        <w:rPr>
          <w:rFonts w:ascii="Arial" w:cs="Arial" w:eastAsia="Arial" w:hAnsi="Arial"/>
          <w:b/>
          <w:bCs/>
          <w:color w:val="16243E"/>
          <w:sz w:val="28"/>
          <w:szCs w:val="28"/>
        </w:rPr>
        <w:t xml:space="preserve">Appendix A — Glossary of Key Terms</w:t>
      </w:r>
    </w:p>
    <w:p>
      <w:pPr>
        <w:spacing w:after="200"/>
      </w:pPr>
      <w:r>
        <w:rPr>
          <w:rFonts w:ascii="Arial" w:cs="Arial" w:eastAsia="Arial" w:hAnsi="Arial"/>
          <w:i/>
          <w:iCs/>
          <w:color w:val="4A5164"/>
          <w:sz w:val="19"/>
          <w:szCs w:val="19"/>
        </w:rPr>
        <w:t xml:space="preserve">50 common Georgia real estate terms every prelicense candidate should know.</w:t>
      </w:r>
    </w:p>
    <w:p>
      <w:pPr>
        <w:spacing w:after="140"/>
      </w:pPr>
      <w:r>
        <w:rPr>
          <w:rFonts w:ascii="Arial" w:cs="Arial" w:eastAsia="Arial" w:hAnsi="Arial"/>
          <w:b/>
          <w:bCs/>
          <w:color w:val="16243E"/>
          <w:sz w:val="20"/>
          <w:szCs w:val="20"/>
        </w:rPr>
        <w:t xml:space="preserve">Acceleration Clause.  </w:t>
      </w:r>
      <w:r>
        <w:rPr>
          <w:rFonts w:ascii="Arial" w:cs="Arial" w:eastAsia="Arial" w:hAnsi="Arial"/>
          <w:color w:val="333333"/>
          <w:sz w:val="20"/>
          <w:szCs w:val="20"/>
        </w:rPr>
        <w:t xml:space="preserve">A mortgage provision allowing the lender to demand immediate payment of the entire remaining loan balance if the borrower defaults on the loan terms.</w:t>
      </w:r>
    </w:p>
    <w:p>
      <w:pPr>
        <w:spacing w:after="140"/>
      </w:pPr>
      <w:r>
        <w:rPr>
          <w:rFonts w:ascii="Arial" w:cs="Arial" w:eastAsia="Arial" w:hAnsi="Arial"/>
          <w:b/>
          <w:bCs/>
          <w:color w:val="16243E"/>
          <w:sz w:val="20"/>
          <w:szCs w:val="20"/>
        </w:rPr>
        <w:t xml:space="preserve">Adverse Possession.  </w:t>
      </w:r>
      <w:r>
        <w:rPr>
          <w:rFonts w:ascii="Arial" w:cs="Arial" w:eastAsia="Arial" w:hAnsi="Arial"/>
          <w:color w:val="333333"/>
          <w:sz w:val="20"/>
          <w:szCs w:val="20"/>
        </w:rPr>
        <w:t xml:space="preserve">A legal doctrine allowing a person to claim ownership of land they have openly, continuously, and without permission occupied for a statutory period of time.</w:t>
      </w:r>
    </w:p>
    <w:p>
      <w:pPr>
        <w:spacing w:after="140"/>
      </w:pPr>
      <w:r>
        <w:rPr>
          <w:rFonts w:ascii="Arial" w:cs="Arial" w:eastAsia="Arial" w:hAnsi="Arial"/>
          <w:b/>
          <w:bCs/>
          <w:color w:val="16243E"/>
          <w:sz w:val="20"/>
          <w:szCs w:val="20"/>
        </w:rPr>
        <w:t xml:space="preserve">Amortization.  </w:t>
      </w:r>
      <w:r>
        <w:rPr>
          <w:rFonts w:ascii="Arial" w:cs="Arial" w:eastAsia="Arial" w:hAnsi="Arial"/>
          <w:color w:val="333333"/>
          <w:sz w:val="20"/>
          <w:szCs w:val="20"/>
        </w:rPr>
        <w:t xml:space="preserve">The gradual repayment of a loan through regular payments that cover both principal and interest over the life of the loan.</w:t>
      </w:r>
    </w:p>
    <w:p>
      <w:pPr>
        <w:spacing w:after="140"/>
      </w:pPr>
      <w:r>
        <w:rPr>
          <w:rFonts w:ascii="Arial" w:cs="Arial" w:eastAsia="Arial" w:hAnsi="Arial"/>
          <w:b/>
          <w:bCs/>
          <w:color w:val="16243E"/>
          <w:sz w:val="20"/>
          <w:szCs w:val="20"/>
        </w:rPr>
        <w:t xml:space="preserve">Appraisal.  </w:t>
      </w:r>
      <w:r>
        <w:rPr>
          <w:rFonts w:ascii="Arial" w:cs="Arial" w:eastAsia="Arial" w:hAnsi="Arial"/>
          <w:color w:val="333333"/>
          <w:sz w:val="20"/>
          <w:szCs w:val="20"/>
        </w:rPr>
        <w:t xml:space="preserve">A professional, unbiased estimate of a property's market value, typically prepared by a licensed or certified appraiser.</w:t>
      </w:r>
    </w:p>
    <w:p>
      <w:pPr>
        <w:spacing w:after="140"/>
      </w:pPr>
      <w:r>
        <w:rPr>
          <w:rFonts w:ascii="Arial" w:cs="Arial" w:eastAsia="Arial" w:hAnsi="Arial"/>
          <w:b/>
          <w:bCs/>
          <w:color w:val="16243E"/>
          <w:sz w:val="20"/>
          <w:szCs w:val="20"/>
        </w:rPr>
        <w:t xml:space="preserve">Appurtenance.  </w:t>
      </w:r>
      <w:r>
        <w:rPr>
          <w:rFonts w:ascii="Arial" w:cs="Arial" w:eastAsia="Arial" w:hAnsi="Arial"/>
          <w:color w:val="333333"/>
          <w:sz w:val="20"/>
          <w:szCs w:val="20"/>
        </w:rPr>
        <w:t xml:space="preserve">A right or privilege that is attached to and passes with the ownership of real property, such as an easement or right of way.</w:t>
      </w:r>
    </w:p>
    <w:p>
      <w:pPr>
        <w:spacing w:after="140"/>
      </w:pPr>
      <w:r>
        <w:rPr>
          <w:rFonts w:ascii="Arial" w:cs="Arial" w:eastAsia="Arial" w:hAnsi="Arial"/>
          <w:b/>
          <w:bCs/>
          <w:color w:val="16243E"/>
          <w:sz w:val="20"/>
          <w:szCs w:val="20"/>
        </w:rPr>
        <w:t xml:space="preserve">Assessed Value.  </w:t>
      </w:r>
      <w:r>
        <w:rPr>
          <w:rFonts w:ascii="Arial" w:cs="Arial" w:eastAsia="Arial" w:hAnsi="Arial"/>
          <w:color w:val="333333"/>
          <w:sz w:val="20"/>
          <w:szCs w:val="20"/>
        </w:rPr>
        <w:t xml:space="preserve">The dollar value assigned to a property by a local tax assessor for the purpose of calculating property taxes.</w:t>
      </w:r>
    </w:p>
    <w:p>
      <w:pPr>
        <w:spacing w:after="140"/>
      </w:pPr>
      <w:r>
        <w:rPr>
          <w:rFonts w:ascii="Arial" w:cs="Arial" w:eastAsia="Arial" w:hAnsi="Arial"/>
          <w:b/>
          <w:bCs/>
          <w:color w:val="16243E"/>
          <w:sz w:val="20"/>
          <w:szCs w:val="20"/>
        </w:rPr>
        <w:t xml:space="preserve">Assignment.  </w:t>
      </w:r>
      <w:r>
        <w:rPr>
          <w:rFonts w:ascii="Arial" w:cs="Arial" w:eastAsia="Arial" w:hAnsi="Arial"/>
          <w:color w:val="333333"/>
          <w:sz w:val="20"/>
          <w:szCs w:val="20"/>
        </w:rPr>
        <w:t xml:space="preserve">The transfer of rights or obligations under a contract or lease from one party to another party.</w:t>
      </w:r>
    </w:p>
    <w:p>
      <w:pPr>
        <w:spacing w:after="140"/>
      </w:pPr>
      <w:r>
        <w:rPr>
          <w:rFonts w:ascii="Arial" w:cs="Arial" w:eastAsia="Arial" w:hAnsi="Arial"/>
          <w:b/>
          <w:bCs/>
          <w:color w:val="16243E"/>
          <w:sz w:val="20"/>
          <w:szCs w:val="20"/>
        </w:rPr>
        <w:t xml:space="preserve">Broker.  </w:t>
      </w:r>
      <w:r>
        <w:rPr>
          <w:rFonts w:ascii="Arial" w:cs="Arial" w:eastAsia="Arial" w:hAnsi="Arial"/>
          <w:color w:val="333333"/>
          <w:sz w:val="20"/>
          <w:szCs w:val="20"/>
        </w:rPr>
        <w:t xml:space="preserve">A licensed real estate professional who has met additional education and experience requirements beyond a salesperson and who may supervise other licensees.</w:t>
      </w:r>
    </w:p>
    <w:p>
      <w:pPr>
        <w:spacing w:after="140"/>
      </w:pPr>
      <w:r>
        <w:rPr>
          <w:rFonts w:ascii="Arial" w:cs="Arial" w:eastAsia="Arial" w:hAnsi="Arial"/>
          <w:b/>
          <w:bCs/>
          <w:color w:val="16243E"/>
          <w:sz w:val="20"/>
          <w:szCs w:val="20"/>
        </w:rPr>
        <w:t xml:space="preserve">Capitalization Rate.  </w:t>
      </w:r>
      <w:r>
        <w:rPr>
          <w:rFonts w:ascii="Arial" w:cs="Arial" w:eastAsia="Arial" w:hAnsi="Arial"/>
          <w:color w:val="333333"/>
          <w:sz w:val="20"/>
          <w:szCs w:val="20"/>
        </w:rPr>
        <w:t xml:space="preserve">The rate of return used to estimate the value of an income-producing property, calculated by dividing net operating income by the property's value.</w:t>
      </w:r>
    </w:p>
    <w:p>
      <w:pPr>
        <w:spacing w:after="140"/>
      </w:pPr>
      <w:r>
        <w:rPr>
          <w:rFonts w:ascii="Arial" w:cs="Arial" w:eastAsia="Arial" w:hAnsi="Arial"/>
          <w:b/>
          <w:bCs/>
          <w:color w:val="16243E"/>
          <w:sz w:val="20"/>
          <w:szCs w:val="20"/>
        </w:rPr>
        <w:t xml:space="preserve">Chain of Title.  </w:t>
      </w:r>
      <w:r>
        <w:rPr>
          <w:rFonts w:ascii="Arial" w:cs="Arial" w:eastAsia="Arial" w:hAnsi="Arial"/>
          <w:color w:val="333333"/>
          <w:sz w:val="20"/>
          <w:szCs w:val="20"/>
        </w:rPr>
        <w:t xml:space="preserve">The complete historical record of all documented owners of a property, traced from the current owner back to the original grant.</w:t>
      </w:r>
    </w:p>
    <w:p>
      <w:pPr>
        <w:spacing w:after="140"/>
      </w:pPr>
      <w:r>
        <w:rPr>
          <w:rFonts w:ascii="Arial" w:cs="Arial" w:eastAsia="Arial" w:hAnsi="Arial"/>
          <w:b/>
          <w:bCs/>
          <w:color w:val="16243E"/>
          <w:sz w:val="20"/>
          <w:szCs w:val="20"/>
        </w:rPr>
        <w:t xml:space="preserve">Client.  </w:t>
      </w:r>
      <w:r>
        <w:rPr>
          <w:rFonts w:ascii="Arial" w:cs="Arial" w:eastAsia="Arial" w:hAnsi="Arial"/>
          <w:color w:val="333333"/>
          <w:sz w:val="20"/>
          <w:szCs w:val="20"/>
        </w:rPr>
        <w:t xml:space="preserve">A party who has an agency relationship with a real estate licensee and is owed fiduciary duties such as loyalty and confidentiality.</w:t>
      </w:r>
    </w:p>
    <w:p>
      <w:pPr>
        <w:spacing w:after="140"/>
      </w:pPr>
      <w:r>
        <w:rPr>
          <w:rFonts w:ascii="Arial" w:cs="Arial" w:eastAsia="Arial" w:hAnsi="Arial"/>
          <w:b/>
          <w:bCs/>
          <w:color w:val="16243E"/>
          <w:sz w:val="20"/>
          <w:szCs w:val="20"/>
        </w:rPr>
        <w:t xml:space="preserve">Closing.  </w:t>
      </w:r>
      <w:r>
        <w:rPr>
          <w:rFonts w:ascii="Arial" w:cs="Arial" w:eastAsia="Arial" w:hAnsi="Arial"/>
          <w:color w:val="333333"/>
          <w:sz w:val="20"/>
          <w:szCs w:val="20"/>
        </w:rPr>
        <w:t xml:space="preserve">The final step in a real estate transaction in which the deed and funds are transferred and ownership officially passes from seller to buyer.</w:t>
      </w:r>
    </w:p>
    <w:p>
      <w:pPr>
        <w:spacing w:after="140"/>
      </w:pPr>
      <w:r>
        <w:rPr>
          <w:rFonts w:ascii="Arial" w:cs="Arial" w:eastAsia="Arial" w:hAnsi="Arial"/>
          <w:b/>
          <w:bCs/>
          <w:color w:val="16243E"/>
          <w:sz w:val="20"/>
          <w:szCs w:val="20"/>
        </w:rPr>
        <w:t xml:space="preserve">Commingling.  </w:t>
      </w:r>
      <w:r>
        <w:rPr>
          <w:rFonts w:ascii="Arial" w:cs="Arial" w:eastAsia="Arial" w:hAnsi="Arial"/>
          <w:color w:val="333333"/>
          <w:sz w:val="20"/>
          <w:szCs w:val="20"/>
        </w:rPr>
        <w:t xml:space="preserve">The improper mixing of client funds, such as earnest money, with a broker's personal or business operating funds; a serious license law violation.</w:t>
      </w:r>
    </w:p>
    <w:p>
      <w:pPr>
        <w:spacing w:after="140"/>
      </w:pPr>
      <w:r>
        <w:rPr>
          <w:rFonts w:ascii="Arial" w:cs="Arial" w:eastAsia="Arial" w:hAnsi="Arial"/>
          <w:b/>
          <w:bCs/>
          <w:color w:val="16243E"/>
          <w:sz w:val="20"/>
          <w:szCs w:val="20"/>
        </w:rPr>
        <w:t xml:space="preserve">Comparative Market Analysis (CMA).  </w:t>
      </w:r>
      <w:r>
        <w:rPr>
          <w:rFonts w:ascii="Arial" w:cs="Arial" w:eastAsia="Arial" w:hAnsi="Arial"/>
          <w:color w:val="333333"/>
          <w:sz w:val="20"/>
          <w:szCs w:val="20"/>
        </w:rPr>
        <w:t xml:space="preserve">An informal estimate of a property's value prepared by a real estate licensee using recent comparable sales, active listings, and market data.</w:t>
      </w:r>
    </w:p>
    <w:p>
      <w:pPr>
        <w:spacing w:after="140"/>
      </w:pPr>
      <w:r>
        <w:rPr>
          <w:rFonts w:ascii="Arial" w:cs="Arial" w:eastAsia="Arial" w:hAnsi="Arial"/>
          <w:b/>
          <w:bCs/>
          <w:color w:val="16243E"/>
          <w:sz w:val="20"/>
          <w:szCs w:val="20"/>
        </w:rPr>
        <w:t xml:space="preserve">Condemnation.  </w:t>
      </w:r>
      <w:r>
        <w:rPr>
          <w:rFonts w:ascii="Arial" w:cs="Arial" w:eastAsia="Arial" w:hAnsi="Arial"/>
          <w:color w:val="333333"/>
          <w:sz w:val="20"/>
          <w:szCs w:val="20"/>
        </w:rPr>
        <w:t xml:space="preserve">The legal process by which a government agency exercises eminent domain to take private property for public use, with just compensation paid to the owner.</w:t>
      </w:r>
    </w:p>
    <w:p>
      <w:pPr>
        <w:spacing w:after="140"/>
      </w:pPr>
      <w:r>
        <w:rPr>
          <w:rFonts w:ascii="Arial" w:cs="Arial" w:eastAsia="Arial" w:hAnsi="Arial"/>
          <w:b/>
          <w:bCs/>
          <w:color w:val="16243E"/>
          <w:sz w:val="20"/>
          <w:szCs w:val="20"/>
        </w:rPr>
        <w:t xml:space="preserve">Consideration.  </w:t>
      </w:r>
      <w:r>
        <w:rPr>
          <w:rFonts w:ascii="Arial" w:cs="Arial" w:eastAsia="Arial" w:hAnsi="Arial"/>
          <w:color w:val="333333"/>
          <w:sz w:val="20"/>
          <w:szCs w:val="20"/>
        </w:rPr>
        <w:t xml:space="preserve">Something of value exchanged between parties to a contract, such as money or a promise, that is required to make the contract legally binding.</w:t>
      </w:r>
    </w:p>
    <w:p>
      <w:pPr>
        <w:spacing w:after="140"/>
      </w:pPr>
      <w:r>
        <w:rPr>
          <w:rFonts w:ascii="Arial" w:cs="Arial" w:eastAsia="Arial" w:hAnsi="Arial"/>
          <w:b/>
          <w:bCs/>
          <w:color w:val="16243E"/>
          <w:sz w:val="20"/>
          <w:szCs w:val="20"/>
        </w:rPr>
        <w:t xml:space="preserve">Contingency.  </w:t>
      </w:r>
      <w:r>
        <w:rPr>
          <w:rFonts w:ascii="Arial" w:cs="Arial" w:eastAsia="Arial" w:hAnsi="Arial"/>
          <w:color w:val="333333"/>
          <w:sz w:val="20"/>
          <w:szCs w:val="20"/>
        </w:rPr>
        <w:t xml:space="preserve">A condition written into a contract that must be satisfied before the parties are obligated to complete the transaction, such as financing or inspection.</w:t>
      </w:r>
    </w:p>
    <w:p>
      <w:pPr>
        <w:spacing w:after="140"/>
      </w:pPr>
      <w:r>
        <w:rPr>
          <w:rFonts w:ascii="Arial" w:cs="Arial" w:eastAsia="Arial" w:hAnsi="Arial"/>
          <w:b/>
          <w:bCs/>
          <w:color w:val="16243E"/>
          <w:sz w:val="20"/>
          <w:szCs w:val="20"/>
        </w:rPr>
        <w:t xml:space="preserve">Conventional Loan.  </w:t>
      </w:r>
      <w:r>
        <w:rPr>
          <w:rFonts w:ascii="Arial" w:cs="Arial" w:eastAsia="Arial" w:hAnsi="Arial"/>
          <w:color w:val="333333"/>
          <w:sz w:val="20"/>
          <w:szCs w:val="20"/>
        </w:rPr>
        <w:t xml:space="preserve">A mortgage loan that is not insured or guaranteed by a government agency such as the FHA, VA, or USDA.</w:t>
      </w:r>
    </w:p>
    <w:p>
      <w:pPr>
        <w:spacing w:after="140"/>
      </w:pPr>
      <w:r>
        <w:rPr>
          <w:rFonts w:ascii="Arial" w:cs="Arial" w:eastAsia="Arial" w:hAnsi="Arial"/>
          <w:b/>
          <w:bCs/>
          <w:color w:val="16243E"/>
          <w:sz w:val="20"/>
          <w:szCs w:val="20"/>
        </w:rPr>
        <w:t xml:space="preserve">Customer.  </w:t>
      </w:r>
      <w:r>
        <w:rPr>
          <w:rFonts w:ascii="Arial" w:cs="Arial" w:eastAsia="Arial" w:hAnsi="Arial"/>
          <w:color w:val="333333"/>
          <w:sz w:val="20"/>
          <w:szCs w:val="20"/>
        </w:rPr>
        <w:t xml:space="preserve">A party in a real estate transaction who is not represented by a licensee but is still owed basic duties of honesty and fair dealing.</w:t>
      </w:r>
    </w:p>
    <w:p>
      <w:pPr>
        <w:spacing w:after="140"/>
      </w:pPr>
      <w:r>
        <w:rPr>
          <w:rFonts w:ascii="Arial" w:cs="Arial" w:eastAsia="Arial" w:hAnsi="Arial"/>
          <w:b/>
          <w:bCs/>
          <w:color w:val="16243E"/>
          <w:sz w:val="20"/>
          <w:szCs w:val="20"/>
        </w:rPr>
        <w:t xml:space="preserve">Deed.  </w:t>
      </w:r>
      <w:r>
        <w:rPr>
          <w:rFonts w:ascii="Arial" w:cs="Arial" w:eastAsia="Arial" w:hAnsi="Arial"/>
          <w:color w:val="333333"/>
          <w:sz w:val="20"/>
          <w:szCs w:val="20"/>
        </w:rPr>
        <w:t xml:space="preserve">A written legal document that conveys ownership interest in real property from a grantor to a grantee.</w:t>
      </w:r>
    </w:p>
    <w:p>
      <w:pPr>
        <w:spacing w:after="140"/>
      </w:pPr>
      <w:r>
        <w:rPr>
          <w:rFonts w:ascii="Arial" w:cs="Arial" w:eastAsia="Arial" w:hAnsi="Arial"/>
          <w:b/>
          <w:bCs/>
          <w:color w:val="16243E"/>
          <w:sz w:val="20"/>
          <w:szCs w:val="20"/>
        </w:rPr>
        <w:t xml:space="preserve">Deed of Trust.  </w:t>
      </w:r>
      <w:r>
        <w:rPr>
          <w:rFonts w:ascii="Arial" w:cs="Arial" w:eastAsia="Arial" w:hAnsi="Arial"/>
          <w:color w:val="333333"/>
          <w:sz w:val="20"/>
          <w:szCs w:val="20"/>
        </w:rPr>
        <w:t xml:space="preserve">A security instrument used in some states in place of a mortgage, involving a trustee who holds legal title until the loan is repaid.</w:t>
      </w:r>
    </w:p>
    <w:p>
      <w:pPr>
        <w:spacing w:after="140"/>
      </w:pPr>
      <w:r>
        <w:rPr>
          <w:rFonts w:ascii="Arial" w:cs="Arial" w:eastAsia="Arial" w:hAnsi="Arial"/>
          <w:b/>
          <w:bCs/>
          <w:color w:val="16243E"/>
          <w:sz w:val="20"/>
          <w:szCs w:val="20"/>
        </w:rPr>
        <w:t xml:space="preserve">Depreciation.  </w:t>
      </w:r>
      <w:r>
        <w:rPr>
          <w:rFonts w:ascii="Arial" w:cs="Arial" w:eastAsia="Arial" w:hAnsi="Arial"/>
          <w:color w:val="333333"/>
          <w:sz w:val="20"/>
          <w:szCs w:val="20"/>
        </w:rPr>
        <w:t xml:space="preserve">A decline in a property's value over time due to physical deterioration, functional obsolescence, or external obsolescence.</w:t>
      </w:r>
    </w:p>
    <w:p>
      <w:pPr>
        <w:spacing w:after="140"/>
      </w:pPr>
      <w:r>
        <w:rPr>
          <w:rFonts w:ascii="Arial" w:cs="Arial" w:eastAsia="Arial" w:hAnsi="Arial"/>
          <w:b/>
          <w:bCs/>
          <w:color w:val="16243E"/>
          <w:sz w:val="20"/>
          <w:szCs w:val="20"/>
        </w:rPr>
        <w:t xml:space="preserve">Earnest Money.  </w:t>
      </w:r>
      <w:r>
        <w:rPr>
          <w:rFonts w:ascii="Arial" w:cs="Arial" w:eastAsia="Arial" w:hAnsi="Arial"/>
          <w:color w:val="333333"/>
          <w:sz w:val="20"/>
          <w:szCs w:val="20"/>
        </w:rPr>
        <w:t xml:space="preserve">A good-faith deposit made by a buyer when submitting a purchase offer to demonstrate serious intent to complete the transaction.</w:t>
      </w:r>
    </w:p>
    <w:p>
      <w:pPr>
        <w:spacing w:after="140"/>
      </w:pPr>
      <w:r>
        <w:rPr>
          <w:rFonts w:ascii="Arial" w:cs="Arial" w:eastAsia="Arial" w:hAnsi="Arial"/>
          <w:b/>
          <w:bCs/>
          <w:color w:val="16243E"/>
          <w:sz w:val="20"/>
          <w:szCs w:val="20"/>
        </w:rPr>
        <w:t xml:space="preserve">Easement.  </w:t>
      </w:r>
      <w:r>
        <w:rPr>
          <w:rFonts w:ascii="Arial" w:cs="Arial" w:eastAsia="Arial" w:hAnsi="Arial"/>
          <w:color w:val="333333"/>
          <w:sz w:val="20"/>
          <w:szCs w:val="20"/>
        </w:rPr>
        <w:t xml:space="preserve">A legal right allowing one party to use a portion of another party's land for a specific purpose, without transferring ownership.</w:t>
      </w:r>
    </w:p>
    <w:p>
      <w:pPr>
        <w:spacing w:after="140"/>
      </w:pPr>
      <w:r>
        <w:rPr>
          <w:rFonts w:ascii="Arial" w:cs="Arial" w:eastAsia="Arial" w:hAnsi="Arial"/>
          <w:b/>
          <w:bCs/>
          <w:color w:val="16243E"/>
          <w:sz w:val="20"/>
          <w:szCs w:val="20"/>
        </w:rPr>
        <w:t xml:space="preserve">Eminent Domain.  </w:t>
      </w:r>
      <w:r>
        <w:rPr>
          <w:rFonts w:ascii="Arial" w:cs="Arial" w:eastAsia="Arial" w:hAnsi="Arial"/>
          <w:color w:val="333333"/>
          <w:sz w:val="20"/>
          <w:szCs w:val="20"/>
        </w:rPr>
        <w:t xml:space="preserve">The government's power to take private property for public use, provided the owner receives just compensation.</w:t>
      </w:r>
    </w:p>
    <w:p>
      <w:pPr>
        <w:spacing w:after="140"/>
      </w:pPr>
      <w:r>
        <w:rPr>
          <w:rFonts w:ascii="Arial" w:cs="Arial" w:eastAsia="Arial" w:hAnsi="Arial"/>
          <w:b/>
          <w:bCs/>
          <w:color w:val="16243E"/>
          <w:sz w:val="20"/>
          <w:szCs w:val="20"/>
        </w:rPr>
        <w:t xml:space="preserve">Encroachment.  </w:t>
      </w:r>
      <w:r>
        <w:rPr>
          <w:rFonts w:ascii="Arial" w:cs="Arial" w:eastAsia="Arial" w:hAnsi="Arial"/>
          <w:color w:val="333333"/>
          <w:sz w:val="20"/>
          <w:szCs w:val="20"/>
        </w:rPr>
        <w:t xml:space="preserve">A structure or improvement that illegally extends onto a neighboring property, crossing the boundary line.</w:t>
      </w:r>
    </w:p>
    <w:p>
      <w:pPr>
        <w:spacing w:after="140"/>
      </w:pPr>
      <w:r>
        <w:rPr>
          <w:rFonts w:ascii="Arial" w:cs="Arial" w:eastAsia="Arial" w:hAnsi="Arial"/>
          <w:b/>
          <w:bCs/>
          <w:color w:val="16243E"/>
          <w:sz w:val="20"/>
          <w:szCs w:val="20"/>
        </w:rPr>
        <w:t xml:space="preserve">Encumbrance.  </w:t>
      </w:r>
      <w:r>
        <w:rPr>
          <w:rFonts w:ascii="Arial" w:cs="Arial" w:eastAsia="Arial" w:hAnsi="Arial"/>
          <w:color w:val="333333"/>
          <w:sz w:val="20"/>
          <w:szCs w:val="20"/>
        </w:rPr>
        <w:t xml:space="preserve">Any claim, lien, charge, or liability attached to real property that may diminish its value or affect its transferability.</w:t>
      </w:r>
    </w:p>
    <w:p>
      <w:pPr>
        <w:spacing w:after="140"/>
      </w:pPr>
      <w:r>
        <w:rPr>
          <w:rFonts w:ascii="Arial" w:cs="Arial" w:eastAsia="Arial" w:hAnsi="Arial"/>
          <w:b/>
          <w:bCs/>
          <w:color w:val="16243E"/>
          <w:sz w:val="20"/>
          <w:szCs w:val="20"/>
        </w:rPr>
        <w:t xml:space="preserve">Equity.  </w:t>
      </w:r>
      <w:r>
        <w:rPr>
          <w:rFonts w:ascii="Arial" w:cs="Arial" w:eastAsia="Arial" w:hAnsi="Arial"/>
          <w:color w:val="333333"/>
          <w:sz w:val="20"/>
          <w:szCs w:val="20"/>
        </w:rPr>
        <w:t xml:space="preserve">The difference between a property's current market value and the outstanding balance of any loans secured against it.</w:t>
      </w:r>
    </w:p>
    <w:p>
      <w:pPr>
        <w:spacing w:after="140"/>
      </w:pPr>
      <w:r>
        <w:rPr>
          <w:rFonts w:ascii="Arial" w:cs="Arial" w:eastAsia="Arial" w:hAnsi="Arial"/>
          <w:b/>
          <w:bCs/>
          <w:color w:val="16243E"/>
          <w:sz w:val="20"/>
          <w:szCs w:val="20"/>
        </w:rPr>
        <w:t xml:space="preserve">Escrow.  </w:t>
      </w:r>
      <w:r>
        <w:rPr>
          <w:rFonts w:ascii="Arial" w:cs="Arial" w:eastAsia="Arial" w:hAnsi="Arial"/>
          <w:color w:val="333333"/>
          <w:sz w:val="20"/>
          <w:szCs w:val="20"/>
        </w:rPr>
        <w:t xml:space="preserve">An arrangement in which a neutral third party holds funds or documents on behalf of the transacting parties until specified conditions are met.</w:t>
      </w:r>
    </w:p>
    <w:p>
      <w:pPr>
        <w:spacing w:after="140"/>
      </w:pPr>
      <w:r>
        <w:rPr>
          <w:rFonts w:ascii="Arial" w:cs="Arial" w:eastAsia="Arial" w:hAnsi="Arial"/>
          <w:b/>
          <w:bCs/>
          <w:color w:val="16243E"/>
          <w:sz w:val="20"/>
          <w:szCs w:val="20"/>
        </w:rPr>
        <w:t xml:space="preserve">Fee Simple.  </w:t>
      </w:r>
      <w:r>
        <w:rPr>
          <w:rFonts w:ascii="Arial" w:cs="Arial" w:eastAsia="Arial" w:hAnsi="Arial"/>
          <w:color w:val="333333"/>
          <w:sz w:val="20"/>
          <w:szCs w:val="20"/>
        </w:rPr>
        <w:t xml:space="preserve">The most complete form of property ownership, granting the owner unrestricted rights to use, sell, or transfer the property indefinitely.</w:t>
      </w:r>
    </w:p>
    <w:p>
      <w:pPr>
        <w:spacing w:after="140"/>
      </w:pPr>
      <w:r>
        <w:rPr>
          <w:rFonts w:ascii="Arial" w:cs="Arial" w:eastAsia="Arial" w:hAnsi="Arial"/>
          <w:b/>
          <w:bCs/>
          <w:color w:val="16243E"/>
          <w:sz w:val="20"/>
          <w:szCs w:val="20"/>
        </w:rPr>
        <w:t xml:space="preserve">Fiduciary Duty.  </w:t>
      </w:r>
      <w:r>
        <w:rPr>
          <w:rFonts w:ascii="Arial" w:cs="Arial" w:eastAsia="Arial" w:hAnsi="Arial"/>
          <w:color w:val="333333"/>
          <w:sz w:val="20"/>
          <w:szCs w:val="20"/>
        </w:rPr>
        <w:t xml:space="preserve">A legal obligation of loyalty, care, and good faith that an agent owes to a client, such as a broker owes to a seller or buyer client.</w:t>
      </w:r>
    </w:p>
    <w:p>
      <w:pPr>
        <w:spacing w:after="140"/>
      </w:pPr>
      <w:r>
        <w:rPr>
          <w:rFonts w:ascii="Arial" w:cs="Arial" w:eastAsia="Arial" w:hAnsi="Arial"/>
          <w:b/>
          <w:bCs/>
          <w:color w:val="16243E"/>
          <w:sz w:val="20"/>
          <w:szCs w:val="20"/>
        </w:rPr>
        <w:t xml:space="preserve">Foreclosure.  </w:t>
      </w:r>
      <w:r>
        <w:rPr>
          <w:rFonts w:ascii="Arial" w:cs="Arial" w:eastAsia="Arial" w:hAnsi="Arial"/>
          <w:color w:val="333333"/>
          <w:sz w:val="20"/>
          <w:szCs w:val="20"/>
        </w:rPr>
        <w:t xml:space="preserve">The legal process by which a lender takes possession of and sells a property after the borrower defaults on the loan secured by that property.</w:t>
      </w:r>
    </w:p>
    <w:p>
      <w:pPr>
        <w:spacing w:after="140"/>
      </w:pPr>
      <w:r>
        <w:rPr>
          <w:rFonts w:ascii="Arial" w:cs="Arial" w:eastAsia="Arial" w:hAnsi="Arial"/>
          <w:b/>
          <w:bCs/>
          <w:color w:val="16243E"/>
          <w:sz w:val="20"/>
          <w:szCs w:val="20"/>
        </w:rPr>
        <w:t xml:space="preserve">Grantee.  </w:t>
      </w:r>
      <w:r>
        <w:rPr>
          <w:rFonts w:ascii="Arial" w:cs="Arial" w:eastAsia="Arial" w:hAnsi="Arial"/>
          <w:color w:val="333333"/>
          <w:sz w:val="20"/>
          <w:szCs w:val="20"/>
        </w:rPr>
        <w:t xml:space="preserve">The party who receives an interest in real property through a deed or other conveyance.</w:t>
      </w:r>
    </w:p>
    <w:p>
      <w:pPr>
        <w:spacing w:after="140"/>
      </w:pPr>
      <w:r>
        <w:rPr>
          <w:rFonts w:ascii="Arial" w:cs="Arial" w:eastAsia="Arial" w:hAnsi="Arial"/>
          <w:b/>
          <w:bCs/>
          <w:color w:val="16243E"/>
          <w:sz w:val="20"/>
          <w:szCs w:val="20"/>
        </w:rPr>
        <w:t xml:space="preserve">Grantor.  </w:t>
      </w:r>
      <w:r>
        <w:rPr>
          <w:rFonts w:ascii="Arial" w:cs="Arial" w:eastAsia="Arial" w:hAnsi="Arial"/>
          <w:color w:val="333333"/>
          <w:sz w:val="20"/>
          <w:szCs w:val="20"/>
        </w:rPr>
        <w:t xml:space="preserve">The party who transfers or conveys an interest in real property to another party through a deed.</w:t>
      </w:r>
    </w:p>
    <w:p>
      <w:pPr>
        <w:spacing w:after="140"/>
      </w:pPr>
      <w:r>
        <w:rPr>
          <w:rFonts w:ascii="Arial" w:cs="Arial" w:eastAsia="Arial" w:hAnsi="Arial"/>
          <w:b/>
          <w:bCs/>
          <w:color w:val="16243E"/>
          <w:sz w:val="20"/>
          <w:szCs w:val="20"/>
        </w:rPr>
        <w:t xml:space="preserve">Highest and Best Use.  </w:t>
      </w:r>
      <w:r>
        <w:rPr>
          <w:rFonts w:ascii="Arial" w:cs="Arial" w:eastAsia="Arial" w:hAnsi="Arial"/>
          <w:color w:val="333333"/>
          <w:sz w:val="20"/>
          <w:szCs w:val="20"/>
        </w:rPr>
        <w:t xml:space="preserve">The reasonably probable use of a property that is legally permissible, physically possible, financially feasible, and maximally productive.</w:t>
      </w:r>
    </w:p>
    <w:p>
      <w:pPr>
        <w:spacing w:after="140"/>
      </w:pPr>
      <w:r>
        <w:rPr>
          <w:rFonts w:ascii="Arial" w:cs="Arial" w:eastAsia="Arial" w:hAnsi="Arial"/>
          <w:b/>
          <w:bCs/>
          <w:color w:val="16243E"/>
          <w:sz w:val="20"/>
          <w:szCs w:val="20"/>
        </w:rPr>
        <w:t xml:space="preserve">Homestead Exemption.  </w:t>
      </w:r>
      <w:r>
        <w:rPr>
          <w:rFonts w:ascii="Arial" w:cs="Arial" w:eastAsia="Arial" w:hAnsi="Arial"/>
          <w:color w:val="333333"/>
          <w:sz w:val="20"/>
          <w:szCs w:val="20"/>
        </w:rPr>
        <w:t xml:space="preserve">A reduction in the taxable value of a primary residence, lowering the property tax owed by an eligible homeowner.</w:t>
      </w:r>
    </w:p>
    <w:p>
      <w:pPr>
        <w:spacing w:after="140"/>
      </w:pPr>
      <w:r>
        <w:rPr>
          <w:rFonts w:ascii="Arial" w:cs="Arial" w:eastAsia="Arial" w:hAnsi="Arial"/>
          <w:b/>
          <w:bCs/>
          <w:color w:val="16243E"/>
          <w:sz w:val="20"/>
          <w:szCs w:val="20"/>
        </w:rPr>
        <w:t xml:space="preserve">Lien.  </w:t>
      </w:r>
      <w:r>
        <w:rPr>
          <w:rFonts w:ascii="Arial" w:cs="Arial" w:eastAsia="Arial" w:hAnsi="Arial"/>
          <w:color w:val="333333"/>
          <w:sz w:val="20"/>
          <w:szCs w:val="20"/>
        </w:rPr>
        <w:t xml:space="preserve">A legal claim against a property that serves as security for the payment of a debt or obligation.</w:t>
      </w:r>
    </w:p>
    <w:p>
      <w:pPr>
        <w:spacing w:after="140"/>
      </w:pPr>
      <w:r>
        <w:rPr>
          <w:rFonts w:ascii="Arial" w:cs="Arial" w:eastAsia="Arial" w:hAnsi="Arial"/>
          <w:b/>
          <w:bCs/>
          <w:color w:val="16243E"/>
          <w:sz w:val="20"/>
          <w:szCs w:val="20"/>
        </w:rPr>
        <w:t xml:space="preserve">Listing Agreement.  </w:t>
      </w:r>
      <w:r>
        <w:rPr>
          <w:rFonts w:ascii="Arial" w:cs="Arial" w:eastAsia="Arial" w:hAnsi="Arial"/>
          <w:color w:val="333333"/>
          <w:sz w:val="20"/>
          <w:szCs w:val="20"/>
        </w:rPr>
        <w:t xml:space="preserve">A written contract between a property owner and a broker authorizing the broker to market and sell the property in exchange for compensation.</w:t>
      </w:r>
    </w:p>
    <w:p>
      <w:pPr>
        <w:spacing w:after="140"/>
      </w:pPr>
      <w:r>
        <w:rPr>
          <w:rFonts w:ascii="Arial" w:cs="Arial" w:eastAsia="Arial" w:hAnsi="Arial"/>
          <w:b/>
          <w:bCs/>
          <w:color w:val="16243E"/>
          <w:sz w:val="20"/>
          <w:szCs w:val="20"/>
        </w:rPr>
        <w:t xml:space="preserve">Marketable Title.  </w:t>
      </w:r>
      <w:r>
        <w:rPr>
          <w:rFonts w:ascii="Arial" w:cs="Arial" w:eastAsia="Arial" w:hAnsi="Arial"/>
          <w:color w:val="333333"/>
          <w:sz w:val="20"/>
          <w:szCs w:val="20"/>
        </w:rPr>
        <w:t xml:space="preserve">A title free of significant defects, liens, or encumbrances that a reasonably prudent buyer would accept without objection.</w:t>
      </w:r>
    </w:p>
    <w:p>
      <w:pPr>
        <w:spacing w:after="140"/>
      </w:pPr>
      <w:r>
        <w:rPr>
          <w:rFonts w:ascii="Arial" w:cs="Arial" w:eastAsia="Arial" w:hAnsi="Arial"/>
          <w:b/>
          <w:bCs/>
          <w:color w:val="16243E"/>
          <w:sz w:val="20"/>
          <w:szCs w:val="20"/>
        </w:rPr>
        <w:t xml:space="preserve">Mortgage.  </w:t>
      </w:r>
      <w:r>
        <w:rPr>
          <w:rFonts w:ascii="Arial" w:cs="Arial" w:eastAsia="Arial" w:hAnsi="Arial"/>
          <w:color w:val="333333"/>
          <w:sz w:val="20"/>
          <w:szCs w:val="20"/>
        </w:rPr>
        <w:t xml:space="preserve">A legal instrument that pledges real property as security for repayment of a loan.</w:t>
      </w:r>
    </w:p>
    <w:p>
      <w:pPr>
        <w:spacing w:after="140"/>
      </w:pPr>
      <w:r>
        <w:rPr>
          <w:rFonts w:ascii="Arial" w:cs="Arial" w:eastAsia="Arial" w:hAnsi="Arial"/>
          <w:b/>
          <w:bCs/>
          <w:color w:val="16243E"/>
          <w:sz w:val="20"/>
          <w:szCs w:val="20"/>
        </w:rPr>
        <w:t xml:space="preserve">Net Operating Income (NOI).  </w:t>
      </w:r>
      <w:r>
        <w:rPr>
          <w:rFonts w:ascii="Arial" w:cs="Arial" w:eastAsia="Arial" w:hAnsi="Arial"/>
          <w:color w:val="333333"/>
          <w:sz w:val="20"/>
          <w:szCs w:val="20"/>
        </w:rPr>
        <w:t xml:space="preserve">The income remaining from an investment property after operating expenses are deducted from gross income, before debt service and taxes.</w:t>
      </w:r>
    </w:p>
    <w:p>
      <w:pPr>
        <w:spacing w:after="140"/>
      </w:pPr>
      <w:r>
        <w:rPr>
          <w:rFonts w:ascii="Arial" w:cs="Arial" w:eastAsia="Arial" w:hAnsi="Arial"/>
          <w:b/>
          <w:bCs/>
          <w:color w:val="16243E"/>
          <w:sz w:val="20"/>
          <w:szCs w:val="20"/>
        </w:rPr>
        <w:t xml:space="preserve">Plat.  </w:t>
      </w:r>
      <w:r>
        <w:rPr>
          <w:rFonts w:ascii="Arial" w:cs="Arial" w:eastAsia="Arial" w:hAnsi="Arial"/>
          <w:color w:val="333333"/>
          <w:sz w:val="20"/>
          <w:szCs w:val="20"/>
        </w:rPr>
        <w:t xml:space="preserve">A recorded map showing the boundaries, dimensions, and lot numbers of subdivided parcels of land within a development.</w:t>
      </w:r>
    </w:p>
    <w:p>
      <w:pPr>
        <w:spacing w:after="140"/>
      </w:pPr>
      <w:r>
        <w:rPr>
          <w:rFonts w:ascii="Arial" w:cs="Arial" w:eastAsia="Arial" w:hAnsi="Arial"/>
          <w:b/>
          <w:bCs/>
          <w:color w:val="16243E"/>
          <w:sz w:val="20"/>
          <w:szCs w:val="20"/>
        </w:rPr>
        <w:t xml:space="preserve">Point of Beginning (POB).  </w:t>
      </w:r>
      <w:r>
        <w:rPr>
          <w:rFonts w:ascii="Arial" w:cs="Arial" w:eastAsia="Arial" w:hAnsi="Arial"/>
          <w:color w:val="333333"/>
          <w:sz w:val="20"/>
          <w:szCs w:val="20"/>
        </w:rPr>
        <w:t xml:space="preserve">The fixed starting and ending reference point used in a metes and bounds legal description of a property's boundaries.</w:t>
      </w:r>
    </w:p>
    <w:p>
      <w:pPr>
        <w:spacing w:after="140"/>
      </w:pPr>
      <w:r>
        <w:rPr>
          <w:rFonts w:ascii="Arial" w:cs="Arial" w:eastAsia="Arial" w:hAnsi="Arial"/>
          <w:b/>
          <w:bCs/>
          <w:color w:val="16243E"/>
          <w:sz w:val="20"/>
          <w:szCs w:val="20"/>
        </w:rPr>
        <w:t xml:space="preserve">Prescriptive Easement.  </w:t>
      </w:r>
      <w:r>
        <w:rPr>
          <w:rFonts w:ascii="Arial" w:cs="Arial" w:eastAsia="Arial" w:hAnsi="Arial"/>
          <w:color w:val="333333"/>
          <w:sz w:val="20"/>
          <w:szCs w:val="20"/>
        </w:rPr>
        <w:t xml:space="preserve">An easement acquired through open, continuous, and adverse use of another's land for the length of the statutory period, without the owner's permission.</w:t>
      </w:r>
    </w:p>
    <w:p>
      <w:pPr>
        <w:spacing w:after="140"/>
      </w:pPr>
      <w:r>
        <w:rPr>
          <w:rFonts w:ascii="Arial" w:cs="Arial" w:eastAsia="Arial" w:hAnsi="Arial"/>
          <w:b/>
          <w:bCs/>
          <w:color w:val="16243E"/>
          <w:sz w:val="20"/>
          <w:szCs w:val="20"/>
        </w:rPr>
        <w:t xml:space="preserve">Principal.  </w:t>
      </w:r>
      <w:r>
        <w:rPr>
          <w:rFonts w:ascii="Arial" w:cs="Arial" w:eastAsia="Arial" w:hAnsi="Arial"/>
          <w:color w:val="333333"/>
          <w:sz w:val="20"/>
          <w:szCs w:val="20"/>
        </w:rPr>
        <w:t xml:space="preserve">In agency law, the party (such as a buyer or seller) who authorizes an agent to act on their behalf; in finance, the amount of a loan before interest.</w:t>
      </w:r>
    </w:p>
    <w:p>
      <w:pPr>
        <w:spacing w:after="140"/>
      </w:pPr>
      <w:r>
        <w:rPr>
          <w:rFonts w:ascii="Arial" w:cs="Arial" w:eastAsia="Arial" w:hAnsi="Arial"/>
          <w:b/>
          <w:bCs/>
          <w:color w:val="16243E"/>
          <w:sz w:val="20"/>
          <w:szCs w:val="20"/>
        </w:rPr>
        <w:t xml:space="preserve">Prorate.  </w:t>
      </w:r>
      <w:r>
        <w:rPr>
          <w:rFonts w:ascii="Arial" w:cs="Arial" w:eastAsia="Arial" w:hAnsi="Arial"/>
          <w:color w:val="333333"/>
          <w:sz w:val="20"/>
          <w:szCs w:val="20"/>
        </w:rPr>
        <w:t xml:space="preserve">To divide expenses or income, such as property taxes or HOA dues, proportionally between the buyer and seller based on their period of ownership.</w:t>
      </w:r>
    </w:p>
    <w:p>
      <w:pPr>
        <w:spacing w:after="140"/>
      </w:pPr>
      <w:r>
        <w:rPr>
          <w:rFonts w:ascii="Arial" w:cs="Arial" w:eastAsia="Arial" w:hAnsi="Arial"/>
          <w:b/>
          <w:bCs/>
          <w:color w:val="16243E"/>
          <w:sz w:val="20"/>
          <w:szCs w:val="20"/>
        </w:rPr>
        <w:t xml:space="preserve">Quitclaim Deed.  </w:t>
      </w:r>
      <w:r>
        <w:rPr>
          <w:rFonts w:ascii="Arial" w:cs="Arial" w:eastAsia="Arial" w:hAnsi="Arial"/>
          <w:color w:val="333333"/>
          <w:sz w:val="20"/>
          <w:szCs w:val="20"/>
        </w:rPr>
        <w:t xml:space="preserve">A deed that conveys whatever interest the grantor may hold in a property, without any warranty of title.</w:t>
      </w:r>
    </w:p>
    <w:p>
      <w:pPr>
        <w:spacing w:after="140"/>
      </w:pPr>
      <w:r>
        <w:rPr>
          <w:rFonts w:ascii="Arial" w:cs="Arial" w:eastAsia="Arial" w:hAnsi="Arial"/>
          <w:b/>
          <w:bCs/>
          <w:color w:val="16243E"/>
          <w:sz w:val="20"/>
          <w:szCs w:val="20"/>
        </w:rPr>
        <w:t xml:space="preserve">Tenancy in Common.  </w:t>
      </w:r>
      <w:r>
        <w:rPr>
          <w:rFonts w:ascii="Arial" w:cs="Arial" w:eastAsia="Arial" w:hAnsi="Arial"/>
          <w:color w:val="333333"/>
          <w:sz w:val="20"/>
          <w:szCs w:val="20"/>
        </w:rPr>
        <w:t xml:space="preserve">A form of co-ownership in which two or more owners hold an undivided interest in a property, with no automatic right of survivorship.</w:t>
      </w:r>
    </w:p>
    <w:p>
      <w:pPr>
        <w:spacing w:after="140"/>
      </w:pPr>
      <w:r>
        <w:rPr>
          <w:rFonts w:ascii="Arial" w:cs="Arial" w:eastAsia="Arial" w:hAnsi="Arial"/>
          <w:b/>
          <w:bCs/>
          <w:color w:val="16243E"/>
          <w:sz w:val="20"/>
          <w:szCs w:val="20"/>
        </w:rPr>
        <w:t xml:space="preserve">Title Insurance.  </w:t>
      </w:r>
      <w:r>
        <w:rPr>
          <w:rFonts w:ascii="Arial" w:cs="Arial" w:eastAsia="Arial" w:hAnsi="Arial"/>
          <w:color w:val="333333"/>
          <w:sz w:val="20"/>
          <w:szCs w:val="20"/>
        </w:rPr>
        <w:t xml:space="preserve">An insurance policy that protects an owner or lender against financial loss from defects in title that existed before the policy was issued.</w:t>
      </w:r>
    </w:p>
    <w:p>
      <w:pPr>
        <w:spacing w:after="140"/>
      </w:pPr>
      <w:r>
        <w:rPr>
          <w:rFonts w:ascii="Arial" w:cs="Arial" w:eastAsia="Arial" w:hAnsi="Arial"/>
          <w:b/>
          <w:bCs/>
          <w:color w:val="16243E"/>
          <w:sz w:val="20"/>
          <w:szCs w:val="20"/>
        </w:rPr>
        <w:t xml:space="preserve">Zoning.  </w:t>
      </w:r>
      <w:r>
        <w:rPr>
          <w:rFonts w:ascii="Arial" w:cs="Arial" w:eastAsia="Arial" w:hAnsi="Arial"/>
          <w:color w:val="333333"/>
          <w:sz w:val="20"/>
          <w:szCs w:val="20"/>
        </w:rPr>
        <w:t xml:space="preserve">Local government regulations that divide land into districts and control how property in each district may be used and developed.</w:t>
      </w:r>
    </w:p>
    <w:p>
      <w:r>
        <w:br w:type="page"/>
      </w:r>
    </w:p>
    <w:p>
      <w:pPr>
        <w:pStyle w:val="Heading1"/>
        <w:pBdr>
          <w:bottom w:val="single" w:color="E5431F" w:sz="12" w:space="4"/>
        </w:pBdr>
        <w:spacing w:after="100" w:before="0"/>
      </w:pPr>
      <w:r>
        <w:rPr>
          <w:rFonts w:ascii="Arial" w:cs="Arial" w:eastAsia="Arial" w:hAnsi="Arial"/>
          <w:b/>
          <w:bCs/>
          <w:color w:val="16243E"/>
          <w:sz w:val="28"/>
          <w:szCs w:val="28"/>
        </w:rPr>
        <w:t xml:space="preserve">Appendix B — Common Acronyms</w:t>
      </w:r>
    </w:p>
    <w:p>
      <w:pPr>
        <w:spacing w:after="200"/>
      </w:pPr>
      <w:r>
        <w:rPr>
          <w:rFonts w:ascii="Arial" w:cs="Arial" w:eastAsia="Arial" w:hAnsi="Arial"/>
          <w:i/>
          <w:iCs/>
          <w:color w:val="4A5164"/>
          <w:sz w:val="19"/>
          <w:szCs w:val="19"/>
        </w:rPr>
        <w:t xml:space="preserve">25 frequently tested acronyms and abbreviations.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800"/>
        <w:gridCol w:w="7200"/>
      </w:tblGrid>
      <w:tr>
        <w:trPr>
          <w:tblHeader/>
        </w:trPr>
        <w:tc>
          <w:tcPr>
            <w:tcW w:type="dxa" w:w="1800"/>
            <w:shd w:fill="16243E" w:val="clear"/>
            <w:tcMar>
              <w:top w:type="dxa" w:w="100"/>
              <w:left w:type="dxa" w:w="150"/>
              <w:bottom w:type="dxa" w:w="100"/>
              <w:right w:type="dxa" w:w="150"/>
            </w:tcMar>
          </w:tcPr>
          <w:p>
            <w:r>
              <w:rPr>
                <w:rFonts w:ascii="Arial" w:cs="Arial" w:eastAsia="Arial" w:hAnsi="Arial"/>
                <w:b/>
                <w:bCs/>
                <w:color w:val="FFFFFF"/>
                <w:sz w:val="19"/>
                <w:szCs w:val="19"/>
              </w:rPr>
              <w:t xml:space="preserve">Acronym</w:t>
            </w:r>
          </w:p>
        </w:tc>
        <w:tc>
          <w:tcPr>
            <w:tcW w:type="dxa" w:w="7200"/>
            <w:shd w:fill="16243E" w:val="clear"/>
            <w:tcMar>
              <w:top w:type="dxa" w:w="100"/>
              <w:left w:type="dxa" w:w="150"/>
              <w:bottom w:type="dxa" w:w="100"/>
              <w:right w:type="dxa" w:w="150"/>
            </w:tcMar>
          </w:tcPr>
          <w:p>
            <w:r>
              <w:rPr>
                <w:rFonts w:ascii="Arial" w:cs="Arial" w:eastAsia="Arial" w:hAnsi="Arial"/>
                <w:b/>
                <w:bCs/>
                <w:color w:val="FFFFFF"/>
                <w:sz w:val="19"/>
                <w:szCs w:val="19"/>
              </w:rPr>
              <w:t xml:space="preserve">Meaning</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GREC</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Georgia Real Estate Commission</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BRRETA</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Brokerage Relationships in Real Estate Transactions Act</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MLS</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Multiple Listing Service</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CMA</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Comparative Market Analysis</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LTV</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Loan-to-Value (ratio)</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PMI</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Private Mortgage Insurance</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MIP</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Mortgage Insurance Premium (FHA loans)</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FHA</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Federal Housing Administration</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VA</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Department of Veterans Affairs</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USDA</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United States Department of Agriculture</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ARM</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Adjustable-Rate Mortgage</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APR</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Annual Percentage Rate</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NOI</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Net Operating Income</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GRM</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Gross Rent Multiplier</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POB</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Point of Beginning</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HOA</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Homeowners Association</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RESPA</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Real Estate Settlement Procedures Act</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TILA</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Truth in Lending Act</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TRID</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TILA-RESPA Integrated Disclosure (rule)</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FSBO</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For Sale By Owner</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PITI</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Principal, Interest, Taxes, and Insurance (monthly mortgage payment components)</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PITT</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Possession, Interest, Time, and Title — the four unities that must all exist simultaneously to create a joint tenancy</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CC&amp;Rs</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Covenants, Conditions, and Restrictions</w:t>
            </w:r>
          </w:p>
        </w:tc>
      </w:tr>
      <w:tr>
        <w:tc>
          <w:tcPr>
            <w:tcW w:type="dxa" w:w="1800"/>
            <w:shd w:fill="F4F1E6" w:val="clear"/>
            <w:tcMar>
              <w:top w:type="dxa" w:w="80"/>
              <w:left w:type="dxa" w:w="150"/>
              <w:bottom w:type="dxa" w:w="80"/>
              <w:right w:type="dxa" w:w="150"/>
            </w:tcMar>
          </w:tcPr>
          <w:p>
            <w:r>
              <w:rPr>
                <w:rFonts w:ascii="Arial" w:cs="Arial" w:eastAsia="Arial" w:hAnsi="Arial"/>
                <w:b/>
                <w:bCs/>
                <w:color w:val="E5431F"/>
                <w:sz w:val="19"/>
                <w:szCs w:val="19"/>
              </w:rPr>
              <w:t xml:space="preserve">DOM</w:t>
            </w:r>
          </w:p>
        </w:tc>
        <w:tc>
          <w:tcPr>
            <w:tcW w:type="dxa" w:w="7200"/>
            <w:shd w:fill="F4F1E6" w:val="clear"/>
            <w:tcMar>
              <w:top w:type="dxa" w:w="80"/>
              <w:left w:type="dxa" w:w="150"/>
              <w:bottom w:type="dxa" w:w="80"/>
              <w:right w:type="dxa" w:w="150"/>
            </w:tcMar>
          </w:tcPr>
          <w:p>
            <w:r>
              <w:rPr>
                <w:rFonts w:ascii="Arial" w:cs="Arial" w:eastAsia="Arial" w:hAnsi="Arial"/>
                <w:color w:val="333333"/>
                <w:sz w:val="19"/>
                <w:szCs w:val="19"/>
              </w:rPr>
              <w:t xml:space="preserve">Days on Market</w:t>
            </w:r>
          </w:p>
        </w:tc>
      </w:tr>
      <w:tr>
        <w:tc>
          <w:tcPr>
            <w:tcW w:type="dxa" w:w="1800"/>
            <w:shd w:fill="FFFFFF" w:val="clear"/>
            <w:tcMar>
              <w:top w:type="dxa" w:w="80"/>
              <w:left w:type="dxa" w:w="150"/>
              <w:bottom w:type="dxa" w:w="80"/>
              <w:right w:type="dxa" w:w="150"/>
            </w:tcMar>
          </w:tcPr>
          <w:p>
            <w:r>
              <w:rPr>
                <w:rFonts w:ascii="Arial" w:cs="Arial" w:eastAsia="Arial" w:hAnsi="Arial"/>
                <w:b/>
                <w:bCs/>
                <w:color w:val="E5431F"/>
                <w:sz w:val="19"/>
                <w:szCs w:val="19"/>
              </w:rPr>
              <w:t xml:space="preserve">EMD</w:t>
            </w:r>
          </w:p>
        </w:tc>
        <w:tc>
          <w:tcPr>
            <w:tcW w:type="dxa" w:w="7200"/>
            <w:shd w:fill="FFFFFF" w:val="clear"/>
            <w:tcMar>
              <w:top w:type="dxa" w:w="80"/>
              <w:left w:type="dxa" w:w="150"/>
              <w:bottom w:type="dxa" w:w="80"/>
              <w:right w:type="dxa" w:w="150"/>
            </w:tcMar>
          </w:tcPr>
          <w:p>
            <w:r>
              <w:rPr>
                <w:rFonts w:ascii="Arial" w:cs="Arial" w:eastAsia="Arial" w:hAnsi="Arial"/>
                <w:color w:val="333333"/>
                <w:sz w:val="19"/>
                <w:szCs w:val="19"/>
              </w:rPr>
              <w:t xml:space="preserve">Earnest Money Deposit</w:t>
            </w:r>
          </w:p>
        </w:tc>
      </w:tr>
    </w:tbl>
    <w:p>
      <w:r>
        <w:br w:type="page"/>
      </w:r>
    </w:p>
    <w:p>
      <w:pPr>
        <w:pStyle w:val="Heading1"/>
        <w:pBdr>
          <w:bottom w:val="single" w:color="E5431F" w:sz="12" w:space="4"/>
        </w:pBdr>
        <w:spacing w:after="100" w:before="0"/>
      </w:pPr>
      <w:r>
        <w:rPr>
          <w:rFonts w:ascii="Arial" w:cs="Arial" w:eastAsia="Arial" w:hAnsi="Arial"/>
          <w:b/>
          <w:bCs/>
          <w:color w:val="16243E"/>
          <w:sz w:val="28"/>
          <w:szCs w:val="28"/>
        </w:rPr>
        <w:t xml:space="preserve">Appendix C — Common Math Formulas</w:t>
      </w:r>
    </w:p>
    <w:p>
      <w:pPr>
        <w:spacing w:after="200"/>
      </w:pPr>
      <w:r>
        <w:rPr>
          <w:rFonts w:ascii="Arial" w:cs="Arial" w:eastAsia="Arial" w:hAnsi="Arial"/>
          <w:i/>
          <w:iCs/>
          <w:color w:val="4A5164"/>
          <w:sz w:val="19"/>
          <w:szCs w:val="19"/>
        </w:rPr>
        <w:t xml:space="preserve">20 common real estate math formulas used throughout the practice exam.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5800"/>
      </w:tblGrid>
      <w:tr>
        <w:trPr>
          <w:tblHeader/>
        </w:trPr>
        <w:tc>
          <w:tcPr>
            <w:tcW w:type="dxa" w:w="3200"/>
            <w:shd w:fill="16243E" w:val="clear"/>
            <w:tcMar>
              <w:top w:type="dxa" w:w="100"/>
              <w:left w:type="dxa" w:w="150"/>
              <w:bottom w:type="dxa" w:w="100"/>
              <w:right w:type="dxa" w:w="150"/>
            </w:tcMar>
          </w:tcPr>
          <w:p>
            <w:r>
              <w:rPr>
                <w:rFonts w:ascii="Arial" w:cs="Arial" w:eastAsia="Arial" w:hAnsi="Arial"/>
                <w:b/>
                <w:bCs/>
                <w:color w:val="FFFFFF"/>
                <w:sz w:val="19"/>
                <w:szCs w:val="19"/>
              </w:rPr>
              <w:t xml:space="preserve">Formula</w:t>
            </w:r>
          </w:p>
        </w:tc>
        <w:tc>
          <w:tcPr>
            <w:tcW w:type="dxa" w:w="5800"/>
            <w:shd w:fill="16243E" w:val="clear"/>
            <w:tcMar>
              <w:top w:type="dxa" w:w="100"/>
              <w:left w:type="dxa" w:w="150"/>
              <w:bottom w:type="dxa" w:w="100"/>
              <w:right w:type="dxa" w:w="150"/>
            </w:tcMar>
          </w:tcPr>
          <w:p>
            <w:r>
              <w:rPr>
                <w:rFonts w:ascii="Arial" w:cs="Arial" w:eastAsia="Arial" w:hAnsi="Arial"/>
                <w:b/>
                <w:bCs/>
                <w:color w:val="FFFFFF"/>
                <w:sz w:val="19"/>
                <w:szCs w:val="19"/>
              </w:rPr>
              <w:t xml:space="preserve">Calculation</w:t>
            </w:r>
          </w:p>
        </w:tc>
      </w:tr>
      <w:tr>
        <w:tc>
          <w:tcPr>
            <w:tcW w:type="dxa" w:w="3200"/>
            <w:shd w:fill="FFFFFF" w:val="clear"/>
            <w:tcMar>
              <w:top w:type="dxa" w:w="80"/>
              <w:left w:type="dxa" w:w="150"/>
              <w:bottom w:type="dxa" w:w="80"/>
              <w:right w:type="dxa" w:w="150"/>
            </w:tcMar>
          </w:tcPr>
          <w:p>
            <w:r>
              <w:rPr>
                <w:rFonts w:ascii="Arial" w:cs="Arial" w:eastAsia="Arial" w:hAnsi="Arial"/>
                <w:b/>
                <w:bCs/>
                <w:color w:val="E5431F"/>
                <w:sz w:val="19"/>
                <w:szCs w:val="19"/>
              </w:rPr>
              <w:t xml:space="preserve">Commission Amount</w:t>
            </w:r>
          </w:p>
        </w:tc>
        <w:tc>
          <w:tcPr>
            <w:tcW w:type="dxa" w:w="5800"/>
            <w:shd w:fill="FFFFFF" w:val="clear"/>
            <w:tcMar>
              <w:top w:type="dxa" w:w="80"/>
              <w:left w:type="dxa" w:w="150"/>
              <w:bottom w:type="dxa" w:w="80"/>
              <w:right w:type="dxa" w:w="150"/>
            </w:tcMar>
          </w:tcPr>
          <w:p>
            <w:r>
              <w:rPr>
                <w:rFonts w:ascii="Arial" w:cs="Arial" w:eastAsia="Arial" w:hAnsi="Arial"/>
                <w:color w:val="333333"/>
                <w:sz w:val="19"/>
                <w:szCs w:val="19"/>
              </w:rPr>
              <w:t xml:space="preserve">Sale Price × Commission Rate</w:t>
            </w:r>
          </w:p>
        </w:tc>
      </w:tr>
      <w:tr>
        <w:tc>
          <w:tcPr>
            <w:tcW w:type="dxa" w:w="3200"/>
            <w:shd w:fill="F4F1E6" w:val="clear"/>
            <w:tcMar>
              <w:top w:type="dxa" w:w="80"/>
              <w:left w:type="dxa" w:w="150"/>
              <w:bottom w:type="dxa" w:w="80"/>
              <w:right w:type="dxa" w:w="150"/>
            </w:tcMar>
          </w:tcPr>
          <w:p>
            <w:r>
              <w:rPr>
                <w:rFonts w:ascii="Arial" w:cs="Arial" w:eastAsia="Arial" w:hAnsi="Arial"/>
                <w:b/>
                <w:bCs/>
                <w:color w:val="E5431F"/>
                <w:sz w:val="19"/>
                <w:szCs w:val="19"/>
              </w:rPr>
              <w:t xml:space="preserve">Commission Split (per side)</w:t>
            </w:r>
          </w:p>
        </w:tc>
        <w:tc>
          <w:tcPr>
            <w:tcW w:type="dxa" w:w="5800"/>
            <w:shd w:fill="F4F1E6" w:val="clear"/>
            <w:tcMar>
              <w:top w:type="dxa" w:w="80"/>
              <w:left w:type="dxa" w:w="150"/>
              <w:bottom w:type="dxa" w:w="80"/>
              <w:right w:type="dxa" w:w="150"/>
            </w:tcMar>
          </w:tcPr>
          <w:p>
            <w:r>
              <w:rPr>
                <w:rFonts w:ascii="Arial" w:cs="Arial" w:eastAsia="Arial" w:hAnsi="Arial"/>
                <w:color w:val="333333"/>
                <w:sz w:val="19"/>
                <w:szCs w:val="19"/>
              </w:rPr>
              <w:t xml:space="preserve">Total Commission × Split Percentage</w:t>
            </w:r>
          </w:p>
        </w:tc>
      </w:tr>
      <w:tr>
        <w:tc>
          <w:tcPr>
            <w:tcW w:type="dxa" w:w="3200"/>
            <w:shd w:fill="FFFFFF" w:val="clear"/>
            <w:tcMar>
              <w:top w:type="dxa" w:w="80"/>
              <w:left w:type="dxa" w:w="150"/>
              <w:bottom w:type="dxa" w:w="80"/>
              <w:right w:type="dxa" w:w="150"/>
            </w:tcMar>
          </w:tcPr>
          <w:p>
            <w:r>
              <w:rPr>
                <w:rFonts w:ascii="Arial" w:cs="Arial" w:eastAsia="Arial" w:hAnsi="Arial"/>
                <w:b/>
                <w:bCs/>
                <w:color w:val="E5431F"/>
                <w:sz w:val="19"/>
                <w:szCs w:val="19"/>
              </w:rPr>
              <w:t xml:space="preserve">Down Payment</w:t>
            </w:r>
          </w:p>
        </w:tc>
        <w:tc>
          <w:tcPr>
            <w:tcW w:type="dxa" w:w="5800"/>
            <w:shd w:fill="FFFFFF" w:val="clear"/>
            <w:tcMar>
              <w:top w:type="dxa" w:w="80"/>
              <w:left w:type="dxa" w:w="150"/>
              <w:bottom w:type="dxa" w:w="80"/>
              <w:right w:type="dxa" w:w="150"/>
            </w:tcMar>
          </w:tcPr>
          <w:p>
            <w:r>
              <w:rPr>
                <w:rFonts w:ascii="Arial" w:cs="Arial" w:eastAsia="Arial" w:hAnsi="Arial"/>
                <w:color w:val="333333"/>
                <w:sz w:val="19"/>
                <w:szCs w:val="19"/>
              </w:rPr>
              <w:t xml:space="preserve">Purchase Price − Loan Amount</w:t>
            </w:r>
          </w:p>
        </w:tc>
      </w:tr>
      <w:tr>
        <w:tc>
          <w:tcPr>
            <w:tcW w:type="dxa" w:w="3200"/>
            <w:shd w:fill="F4F1E6" w:val="clear"/>
            <w:tcMar>
              <w:top w:type="dxa" w:w="80"/>
              <w:left w:type="dxa" w:w="150"/>
              <w:bottom w:type="dxa" w:w="80"/>
              <w:right w:type="dxa" w:w="150"/>
            </w:tcMar>
          </w:tcPr>
          <w:p>
            <w:r>
              <w:rPr>
                <w:rFonts w:ascii="Arial" w:cs="Arial" w:eastAsia="Arial" w:hAnsi="Arial"/>
                <w:b/>
                <w:bCs/>
                <w:color w:val="E5431F"/>
                <w:sz w:val="19"/>
                <w:szCs w:val="19"/>
              </w:rPr>
              <w:t xml:space="preserve">Loan-to-Value (LTV) Ratio</w:t>
            </w:r>
          </w:p>
        </w:tc>
        <w:tc>
          <w:tcPr>
            <w:tcW w:type="dxa" w:w="5800"/>
            <w:shd w:fill="F4F1E6" w:val="clear"/>
            <w:tcMar>
              <w:top w:type="dxa" w:w="80"/>
              <w:left w:type="dxa" w:w="150"/>
              <w:bottom w:type="dxa" w:w="80"/>
              <w:right w:type="dxa" w:w="150"/>
            </w:tcMar>
          </w:tcPr>
          <w:p>
            <w:r>
              <w:rPr>
                <w:rFonts w:ascii="Arial" w:cs="Arial" w:eastAsia="Arial" w:hAnsi="Arial"/>
                <w:color w:val="333333"/>
                <w:sz w:val="19"/>
                <w:szCs w:val="19"/>
              </w:rPr>
              <w:t xml:space="preserve">Loan Amount ÷ Property Value (or Purchase Price)</w:t>
            </w:r>
          </w:p>
        </w:tc>
      </w:tr>
      <w:tr>
        <w:tc>
          <w:tcPr>
            <w:tcW w:type="dxa" w:w="3200"/>
            <w:shd w:fill="FFFFFF" w:val="clear"/>
            <w:tcMar>
              <w:top w:type="dxa" w:w="80"/>
              <w:left w:type="dxa" w:w="150"/>
              <w:bottom w:type="dxa" w:w="80"/>
              <w:right w:type="dxa" w:w="150"/>
            </w:tcMar>
          </w:tcPr>
          <w:p>
            <w:r>
              <w:rPr>
                <w:rFonts w:ascii="Arial" w:cs="Arial" w:eastAsia="Arial" w:hAnsi="Arial"/>
                <w:b/>
                <w:bCs/>
                <w:color w:val="E5431F"/>
                <w:sz w:val="19"/>
                <w:szCs w:val="19"/>
              </w:rPr>
              <w:t xml:space="preserve">Georgia Real Estate Transfer Tax</w:t>
            </w:r>
          </w:p>
        </w:tc>
        <w:tc>
          <w:tcPr>
            <w:tcW w:type="dxa" w:w="5800"/>
            <w:shd w:fill="FFFFFF" w:val="clear"/>
            <w:tcMar>
              <w:top w:type="dxa" w:w="80"/>
              <w:left w:type="dxa" w:w="150"/>
              <w:bottom w:type="dxa" w:w="80"/>
              <w:right w:type="dxa" w:w="150"/>
            </w:tcMar>
          </w:tcPr>
          <w:p>
            <w:r>
              <w:rPr>
                <w:rFonts w:ascii="Arial" w:cs="Arial" w:eastAsia="Arial" w:hAnsi="Arial"/>
                <w:color w:val="333333"/>
                <w:sz w:val="19"/>
                <w:szCs w:val="19"/>
              </w:rPr>
              <w:t xml:space="preserve">(Sale Price ÷ 100) × $0.10</w:t>
            </w:r>
          </w:p>
        </w:tc>
      </w:tr>
      <w:tr>
        <w:tc>
          <w:tcPr>
            <w:tcW w:type="dxa" w:w="3200"/>
            <w:shd w:fill="F4F1E6" w:val="clear"/>
            <w:tcMar>
              <w:top w:type="dxa" w:w="80"/>
              <w:left w:type="dxa" w:w="150"/>
              <w:bottom w:type="dxa" w:w="80"/>
              <w:right w:type="dxa" w:w="150"/>
            </w:tcMar>
          </w:tcPr>
          <w:p>
            <w:r>
              <w:rPr>
                <w:rFonts w:ascii="Arial" w:cs="Arial" w:eastAsia="Arial" w:hAnsi="Arial"/>
                <w:b/>
                <w:bCs/>
                <w:color w:val="E5431F"/>
                <w:sz w:val="19"/>
                <w:szCs w:val="19"/>
              </w:rPr>
              <w:t xml:space="preserve">Georgia Intangible Recording Tax</w:t>
            </w:r>
          </w:p>
        </w:tc>
        <w:tc>
          <w:tcPr>
            <w:tcW w:type="dxa" w:w="5800"/>
            <w:shd w:fill="F4F1E6" w:val="clear"/>
            <w:tcMar>
              <w:top w:type="dxa" w:w="80"/>
              <w:left w:type="dxa" w:w="150"/>
              <w:bottom w:type="dxa" w:w="80"/>
              <w:right w:type="dxa" w:w="150"/>
            </w:tcMar>
          </w:tcPr>
          <w:p>
            <w:r>
              <w:rPr>
                <w:rFonts w:ascii="Arial" w:cs="Arial" w:eastAsia="Arial" w:hAnsi="Arial"/>
                <w:color w:val="333333"/>
                <w:sz w:val="19"/>
                <w:szCs w:val="19"/>
              </w:rPr>
              <w:t xml:space="preserve">(Loan Amount ÷ $500, rounded UP to the next whole increment) × $1.50 — capped at $25,000 total tax due</w:t>
            </w:r>
          </w:p>
        </w:tc>
      </w:tr>
      <w:tr>
        <w:tc>
          <w:tcPr>
            <w:tcW w:type="dxa" w:w="3200"/>
            <w:shd w:fill="FFFFFF" w:val="clear"/>
            <w:tcMar>
              <w:top w:type="dxa" w:w="80"/>
              <w:left w:type="dxa" w:w="150"/>
              <w:bottom w:type="dxa" w:w="80"/>
              <w:right w:type="dxa" w:w="150"/>
            </w:tcMar>
          </w:tcPr>
          <w:p>
            <w:r>
              <w:rPr>
                <w:rFonts w:ascii="Arial" w:cs="Arial" w:eastAsia="Arial" w:hAnsi="Arial"/>
                <w:b/>
                <w:bCs/>
                <w:color w:val="E5431F"/>
                <w:sz w:val="19"/>
                <w:szCs w:val="19"/>
              </w:rPr>
              <w:t xml:space="preserve">Discount Points Cost</w:t>
            </w:r>
          </w:p>
        </w:tc>
        <w:tc>
          <w:tcPr>
            <w:tcW w:type="dxa" w:w="5800"/>
            <w:shd w:fill="FFFFFF" w:val="clear"/>
            <w:tcMar>
              <w:top w:type="dxa" w:w="80"/>
              <w:left w:type="dxa" w:w="150"/>
              <w:bottom w:type="dxa" w:w="80"/>
              <w:right w:type="dxa" w:w="150"/>
            </w:tcMar>
          </w:tcPr>
          <w:p>
            <w:r>
              <w:rPr>
                <w:rFonts w:ascii="Arial" w:cs="Arial" w:eastAsia="Arial" w:hAnsi="Arial"/>
                <w:color w:val="333333"/>
                <w:sz w:val="19"/>
                <w:szCs w:val="19"/>
              </w:rPr>
              <w:t xml:space="preserve">Loan Amount × (Number of Points × 1%)</w:t>
            </w:r>
          </w:p>
        </w:tc>
      </w:tr>
      <w:tr>
        <w:tc>
          <w:tcPr>
            <w:tcW w:type="dxa" w:w="3200"/>
            <w:shd w:fill="F4F1E6" w:val="clear"/>
            <w:tcMar>
              <w:top w:type="dxa" w:w="80"/>
              <w:left w:type="dxa" w:w="150"/>
              <w:bottom w:type="dxa" w:w="80"/>
              <w:right w:type="dxa" w:w="150"/>
            </w:tcMar>
          </w:tcPr>
          <w:p>
            <w:r>
              <w:rPr>
                <w:rFonts w:ascii="Arial" w:cs="Arial" w:eastAsia="Arial" w:hAnsi="Arial"/>
                <w:b/>
                <w:bCs/>
                <w:color w:val="E5431F"/>
                <w:sz w:val="19"/>
                <w:szCs w:val="19"/>
              </w:rPr>
              <w:t xml:space="preserve">Area of a Rectangle</w:t>
            </w:r>
          </w:p>
        </w:tc>
        <w:tc>
          <w:tcPr>
            <w:tcW w:type="dxa" w:w="5800"/>
            <w:shd w:fill="F4F1E6" w:val="clear"/>
            <w:tcMar>
              <w:top w:type="dxa" w:w="80"/>
              <w:left w:type="dxa" w:w="150"/>
              <w:bottom w:type="dxa" w:w="80"/>
              <w:right w:type="dxa" w:w="150"/>
            </w:tcMar>
          </w:tcPr>
          <w:p>
            <w:r>
              <w:rPr>
                <w:rFonts w:ascii="Arial" w:cs="Arial" w:eastAsia="Arial" w:hAnsi="Arial"/>
                <w:color w:val="333333"/>
                <w:sz w:val="19"/>
                <w:szCs w:val="19"/>
              </w:rPr>
              <w:t xml:space="preserve">Length × Width</w:t>
            </w:r>
          </w:p>
        </w:tc>
      </w:tr>
      <w:tr>
        <w:tc>
          <w:tcPr>
            <w:tcW w:type="dxa" w:w="3200"/>
            <w:shd w:fill="FFFFFF" w:val="clear"/>
            <w:tcMar>
              <w:top w:type="dxa" w:w="80"/>
              <w:left w:type="dxa" w:w="150"/>
              <w:bottom w:type="dxa" w:w="80"/>
              <w:right w:type="dxa" w:w="150"/>
            </w:tcMar>
          </w:tcPr>
          <w:p>
            <w:r>
              <w:rPr>
                <w:rFonts w:ascii="Arial" w:cs="Arial" w:eastAsia="Arial" w:hAnsi="Arial"/>
                <w:b/>
                <w:bCs/>
                <w:color w:val="E5431F"/>
                <w:sz w:val="19"/>
                <w:szCs w:val="19"/>
              </w:rPr>
              <w:t xml:space="preserve">Area of a Triangle</w:t>
            </w:r>
          </w:p>
        </w:tc>
        <w:tc>
          <w:tcPr>
            <w:tcW w:type="dxa" w:w="5800"/>
            <w:shd w:fill="FFFFFF" w:val="clear"/>
            <w:tcMar>
              <w:top w:type="dxa" w:w="80"/>
              <w:left w:type="dxa" w:w="150"/>
              <w:bottom w:type="dxa" w:w="80"/>
              <w:right w:type="dxa" w:w="150"/>
            </w:tcMar>
          </w:tcPr>
          <w:p>
            <w:r>
              <w:rPr>
                <w:rFonts w:ascii="Arial" w:cs="Arial" w:eastAsia="Arial" w:hAnsi="Arial"/>
                <w:color w:val="333333"/>
                <w:sz w:val="19"/>
                <w:szCs w:val="19"/>
              </w:rPr>
              <w:t xml:space="preserve">½ × Base × Height</w:t>
            </w:r>
          </w:p>
        </w:tc>
      </w:tr>
      <w:tr>
        <w:tc>
          <w:tcPr>
            <w:tcW w:type="dxa" w:w="3200"/>
            <w:shd w:fill="F4F1E6" w:val="clear"/>
            <w:tcMar>
              <w:top w:type="dxa" w:w="80"/>
              <w:left w:type="dxa" w:w="150"/>
              <w:bottom w:type="dxa" w:w="80"/>
              <w:right w:type="dxa" w:w="150"/>
            </w:tcMar>
          </w:tcPr>
          <w:p>
            <w:r>
              <w:rPr>
                <w:rFonts w:ascii="Arial" w:cs="Arial" w:eastAsia="Arial" w:hAnsi="Arial"/>
                <w:b/>
                <w:bCs/>
                <w:color w:val="E5431F"/>
                <w:sz w:val="19"/>
                <w:szCs w:val="19"/>
              </w:rPr>
              <w:t xml:space="preserve">Perimeter of a Rectangle</w:t>
            </w:r>
          </w:p>
        </w:tc>
        <w:tc>
          <w:tcPr>
            <w:tcW w:type="dxa" w:w="5800"/>
            <w:shd w:fill="F4F1E6" w:val="clear"/>
            <w:tcMar>
              <w:top w:type="dxa" w:w="80"/>
              <w:left w:type="dxa" w:w="150"/>
              <w:bottom w:type="dxa" w:w="80"/>
              <w:right w:type="dxa" w:w="150"/>
            </w:tcMar>
          </w:tcPr>
          <w:p>
            <w:r>
              <w:rPr>
                <w:rFonts w:ascii="Arial" w:cs="Arial" w:eastAsia="Arial" w:hAnsi="Arial"/>
                <w:color w:val="333333"/>
                <w:sz w:val="19"/>
                <w:szCs w:val="19"/>
              </w:rPr>
              <w:t xml:space="preserve">2 × (Length + Width)</w:t>
            </w:r>
          </w:p>
        </w:tc>
      </w:tr>
      <w:tr>
        <w:tc>
          <w:tcPr>
            <w:tcW w:type="dxa" w:w="3200"/>
            <w:shd w:fill="FFFFFF" w:val="clear"/>
            <w:tcMar>
              <w:top w:type="dxa" w:w="80"/>
              <w:left w:type="dxa" w:w="150"/>
              <w:bottom w:type="dxa" w:w="80"/>
              <w:right w:type="dxa" w:w="150"/>
            </w:tcMar>
          </w:tcPr>
          <w:p>
            <w:r>
              <w:rPr>
                <w:rFonts w:ascii="Arial" w:cs="Arial" w:eastAsia="Arial" w:hAnsi="Arial"/>
                <w:b/>
                <w:bCs/>
                <w:color w:val="E5431F"/>
                <w:sz w:val="19"/>
                <w:szCs w:val="19"/>
              </w:rPr>
              <w:t xml:space="preserve">Price per Square Foot</w:t>
            </w:r>
          </w:p>
        </w:tc>
        <w:tc>
          <w:tcPr>
            <w:tcW w:type="dxa" w:w="5800"/>
            <w:shd w:fill="FFFFFF" w:val="clear"/>
            <w:tcMar>
              <w:top w:type="dxa" w:w="80"/>
              <w:left w:type="dxa" w:w="150"/>
              <w:bottom w:type="dxa" w:w="80"/>
              <w:right w:type="dxa" w:w="150"/>
            </w:tcMar>
          </w:tcPr>
          <w:p>
            <w:r>
              <w:rPr>
                <w:rFonts w:ascii="Arial" w:cs="Arial" w:eastAsia="Arial" w:hAnsi="Arial"/>
                <w:color w:val="333333"/>
                <w:sz w:val="19"/>
                <w:szCs w:val="19"/>
              </w:rPr>
              <w:t xml:space="preserve">Sale Price ÷ Total Square Footage</w:t>
            </w:r>
          </w:p>
        </w:tc>
      </w:tr>
      <w:tr>
        <w:tc>
          <w:tcPr>
            <w:tcW w:type="dxa" w:w="3200"/>
            <w:shd w:fill="F4F1E6" w:val="clear"/>
            <w:tcMar>
              <w:top w:type="dxa" w:w="80"/>
              <w:left w:type="dxa" w:w="150"/>
              <w:bottom w:type="dxa" w:w="80"/>
              <w:right w:type="dxa" w:w="150"/>
            </w:tcMar>
          </w:tcPr>
          <w:p>
            <w:r>
              <w:rPr>
                <w:rFonts w:ascii="Arial" w:cs="Arial" w:eastAsia="Arial" w:hAnsi="Arial"/>
                <w:b/>
                <w:bCs/>
                <w:color w:val="E5431F"/>
                <w:sz w:val="19"/>
                <w:szCs w:val="19"/>
              </w:rPr>
              <w:t xml:space="preserve">Gross Rent Multiplier (GRM)</w:t>
            </w:r>
          </w:p>
        </w:tc>
        <w:tc>
          <w:tcPr>
            <w:tcW w:type="dxa" w:w="5800"/>
            <w:shd w:fill="F4F1E6" w:val="clear"/>
            <w:tcMar>
              <w:top w:type="dxa" w:w="80"/>
              <w:left w:type="dxa" w:w="150"/>
              <w:bottom w:type="dxa" w:w="80"/>
              <w:right w:type="dxa" w:w="150"/>
            </w:tcMar>
          </w:tcPr>
          <w:p>
            <w:r>
              <w:rPr>
                <w:rFonts w:ascii="Arial" w:cs="Arial" w:eastAsia="Arial" w:hAnsi="Arial"/>
                <w:color w:val="333333"/>
                <w:sz w:val="19"/>
                <w:szCs w:val="19"/>
              </w:rPr>
              <w:t xml:space="preserve">Sale Price ÷ Monthly Rent</w:t>
            </w:r>
          </w:p>
        </w:tc>
      </w:tr>
      <w:tr>
        <w:tc>
          <w:tcPr>
            <w:tcW w:type="dxa" w:w="3200"/>
            <w:shd w:fill="FFFFFF" w:val="clear"/>
            <w:tcMar>
              <w:top w:type="dxa" w:w="80"/>
              <w:left w:type="dxa" w:w="150"/>
              <w:bottom w:type="dxa" w:w="80"/>
              <w:right w:type="dxa" w:w="150"/>
            </w:tcMar>
          </w:tcPr>
          <w:p>
            <w:r>
              <w:rPr>
                <w:rFonts w:ascii="Arial" w:cs="Arial" w:eastAsia="Arial" w:hAnsi="Arial"/>
                <w:b/>
                <w:bCs/>
                <w:color w:val="E5431F"/>
                <w:sz w:val="19"/>
                <w:szCs w:val="19"/>
              </w:rPr>
              <w:t xml:space="preserve">Capitalization (Cap) Rate</w:t>
            </w:r>
          </w:p>
        </w:tc>
        <w:tc>
          <w:tcPr>
            <w:tcW w:type="dxa" w:w="5800"/>
            <w:shd w:fill="FFFFFF" w:val="clear"/>
            <w:tcMar>
              <w:top w:type="dxa" w:w="80"/>
              <w:left w:type="dxa" w:w="150"/>
              <w:bottom w:type="dxa" w:w="80"/>
              <w:right w:type="dxa" w:w="150"/>
            </w:tcMar>
          </w:tcPr>
          <w:p>
            <w:r>
              <w:rPr>
                <w:rFonts w:ascii="Arial" w:cs="Arial" w:eastAsia="Arial" w:hAnsi="Arial"/>
                <w:color w:val="333333"/>
                <w:sz w:val="19"/>
                <w:szCs w:val="19"/>
              </w:rPr>
              <w:t xml:space="preserve">Net Operating Income ÷ Property Value</w:t>
            </w:r>
          </w:p>
        </w:tc>
      </w:tr>
      <w:tr>
        <w:tc>
          <w:tcPr>
            <w:tcW w:type="dxa" w:w="3200"/>
            <w:shd w:fill="F4F1E6" w:val="clear"/>
            <w:tcMar>
              <w:top w:type="dxa" w:w="80"/>
              <w:left w:type="dxa" w:w="150"/>
              <w:bottom w:type="dxa" w:w="80"/>
              <w:right w:type="dxa" w:w="150"/>
            </w:tcMar>
          </w:tcPr>
          <w:p>
            <w:r>
              <w:rPr>
                <w:rFonts w:ascii="Arial" w:cs="Arial" w:eastAsia="Arial" w:hAnsi="Arial"/>
                <w:b/>
                <w:bCs/>
                <w:color w:val="E5431F"/>
                <w:sz w:val="19"/>
                <w:szCs w:val="19"/>
              </w:rPr>
              <w:t xml:space="preserve">Net Operating Income (NOI)</w:t>
            </w:r>
          </w:p>
        </w:tc>
        <w:tc>
          <w:tcPr>
            <w:tcW w:type="dxa" w:w="5800"/>
            <w:shd w:fill="F4F1E6" w:val="clear"/>
            <w:tcMar>
              <w:top w:type="dxa" w:w="80"/>
              <w:left w:type="dxa" w:w="150"/>
              <w:bottom w:type="dxa" w:w="80"/>
              <w:right w:type="dxa" w:w="150"/>
            </w:tcMar>
          </w:tcPr>
          <w:p>
            <w:r>
              <w:rPr>
                <w:rFonts w:ascii="Arial" w:cs="Arial" w:eastAsia="Arial" w:hAnsi="Arial"/>
                <w:color w:val="333333"/>
                <w:sz w:val="19"/>
                <w:szCs w:val="19"/>
              </w:rPr>
              <w:t xml:space="preserve">Gross Operating Income − Operating Expenses</w:t>
            </w:r>
          </w:p>
        </w:tc>
      </w:tr>
      <w:tr>
        <w:tc>
          <w:tcPr>
            <w:tcW w:type="dxa" w:w="3200"/>
            <w:shd w:fill="FFFFFF" w:val="clear"/>
            <w:tcMar>
              <w:top w:type="dxa" w:w="80"/>
              <w:left w:type="dxa" w:w="150"/>
              <w:bottom w:type="dxa" w:w="80"/>
              <w:right w:type="dxa" w:w="150"/>
            </w:tcMar>
          </w:tcPr>
          <w:p>
            <w:r>
              <w:rPr>
                <w:rFonts w:ascii="Arial" w:cs="Arial" w:eastAsia="Arial" w:hAnsi="Arial"/>
                <w:b/>
                <w:bCs/>
                <w:color w:val="E5431F"/>
                <w:sz w:val="19"/>
                <w:szCs w:val="19"/>
              </w:rPr>
              <w:t xml:space="preserve">Seller's Net Proceeds</w:t>
            </w:r>
          </w:p>
        </w:tc>
        <w:tc>
          <w:tcPr>
            <w:tcW w:type="dxa" w:w="5800"/>
            <w:shd w:fill="FFFFFF" w:val="clear"/>
            <w:tcMar>
              <w:top w:type="dxa" w:w="80"/>
              <w:left w:type="dxa" w:w="150"/>
              <w:bottom w:type="dxa" w:w="80"/>
              <w:right w:type="dxa" w:w="150"/>
            </w:tcMar>
          </w:tcPr>
          <w:p>
            <w:r>
              <w:rPr>
                <w:rFonts w:ascii="Arial" w:cs="Arial" w:eastAsia="Arial" w:hAnsi="Arial"/>
                <w:color w:val="333333"/>
                <w:sz w:val="19"/>
                <w:szCs w:val="19"/>
              </w:rPr>
              <w:t xml:space="preserve">Sale Price − Commission − Loan Payoff − Other Closing Costs</w:t>
            </w:r>
          </w:p>
        </w:tc>
      </w:tr>
      <w:tr>
        <w:tc>
          <w:tcPr>
            <w:tcW w:type="dxa" w:w="3200"/>
            <w:shd w:fill="F4F1E6" w:val="clear"/>
            <w:tcMar>
              <w:top w:type="dxa" w:w="80"/>
              <w:left w:type="dxa" w:w="150"/>
              <w:bottom w:type="dxa" w:w="80"/>
              <w:right w:type="dxa" w:w="150"/>
            </w:tcMar>
          </w:tcPr>
          <w:p>
            <w:r>
              <w:rPr>
                <w:rFonts w:ascii="Arial" w:cs="Arial" w:eastAsia="Arial" w:hAnsi="Arial"/>
                <w:b/>
                <w:bCs/>
                <w:color w:val="E5431F"/>
                <w:sz w:val="19"/>
                <w:szCs w:val="19"/>
              </w:rPr>
              <w:t xml:space="preserve">Daily Proration Rate</w:t>
            </w:r>
          </w:p>
        </w:tc>
        <w:tc>
          <w:tcPr>
            <w:tcW w:type="dxa" w:w="5800"/>
            <w:shd w:fill="F4F1E6" w:val="clear"/>
            <w:tcMar>
              <w:top w:type="dxa" w:w="80"/>
              <w:left w:type="dxa" w:w="150"/>
              <w:bottom w:type="dxa" w:w="80"/>
              <w:right w:type="dxa" w:w="150"/>
            </w:tcMar>
          </w:tcPr>
          <w:p>
            <w:r>
              <w:rPr>
                <w:rFonts w:ascii="Arial" w:cs="Arial" w:eastAsia="Arial" w:hAnsi="Arial"/>
                <w:color w:val="333333"/>
                <w:sz w:val="19"/>
                <w:szCs w:val="19"/>
              </w:rPr>
              <w:t xml:space="preserve">Annual Expense ÷ 365 (or 360, per contract terms)</w:t>
            </w:r>
          </w:p>
        </w:tc>
      </w:tr>
      <w:tr>
        <w:tc>
          <w:tcPr>
            <w:tcW w:type="dxa" w:w="3200"/>
            <w:shd w:fill="FFFFFF" w:val="clear"/>
            <w:tcMar>
              <w:top w:type="dxa" w:w="80"/>
              <w:left w:type="dxa" w:w="150"/>
              <w:bottom w:type="dxa" w:w="80"/>
              <w:right w:type="dxa" w:w="150"/>
            </w:tcMar>
          </w:tcPr>
          <w:p>
            <w:r>
              <w:rPr>
                <w:rFonts w:ascii="Arial" w:cs="Arial" w:eastAsia="Arial" w:hAnsi="Arial"/>
                <w:b/>
                <w:bCs/>
                <w:color w:val="E5431F"/>
                <w:sz w:val="19"/>
                <w:szCs w:val="19"/>
              </w:rPr>
              <w:t xml:space="preserve">Property Tax Owed</w:t>
            </w:r>
          </w:p>
        </w:tc>
        <w:tc>
          <w:tcPr>
            <w:tcW w:type="dxa" w:w="5800"/>
            <w:shd w:fill="FFFFFF" w:val="clear"/>
            <w:tcMar>
              <w:top w:type="dxa" w:w="80"/>
              <w:left w:type="dxa" w:w="150"/>
              <w:bottom w:type="dxa" w:w="80"/>
              <w:right w:type="dxa" w:w="150"/>
            </w:tcMar>
          </w:tcPr>
          <w:p>
            <w:r>
              <w:rPr>
                <w:rFonts w:ascii="Arial" w:cs="Arial" w:eastAsia="Arial" w:hAnsi="Arial"/>
                <w:color w:val="333333"/>
                <w:sz w:val="19"/>
                <w:szCs w:val="19"/>
              </w:rPr>
              <w:t xml:space="preserve">(Assessed Value × Millage Rate) ÷ 1,000</w:t>
            </w:r>
          </w:p>
        </w:tc>
      </w:tr>
      <w:tr>
        <w:tc>
          <w:tcPr>
            <w:tcW w:type="dxa" w:w="3200"/>
            <w:shd w:fill="F4F1E6" w:val="clear"/>
            <w:tcMar>
              <w:top w:type="dxa" w:w="80"/>
              <w:left w:type="dxa" w:w="150"/>
              <w:bottom w:type="dxa" w:w="80"/>
              <w:right w:type="dxa" w:w="150"/>
            </w:tcMar>
          </w:tcPr>
          <w:p>
            <w:r>
              <w:rPr>
                <w:rFonts w:ascii="Arial" w:cs="Arial" w:eastAsia="Arial" w:hAnsi="Arial"/>
                <w:b/>
                <w:bCs/>
                <w:color w:val="E5431F"/>
                <w:sz w:val="19"/>
                <w:szCs w:val="19"/>
              </w:rPr>
              <w:t xml:space="preserve">Owner's Equity</w:t>
            </w:r>
          </w:p>
        </w:tc>
        <w:tc>
          <w:tcPr>
            <w:tcW w:type="dxa" w:w="5800"/>
            <w:shd w:fill="F4F1E6" w:val="clear"/>
            <w:tcMar>
              <w:top w:type="dxa" w:w="80"/>
              <w:left w:type="dxa" w:w="150"/>
              <w:bottom w:type="dxa" w:w="80"/>
              <w:right w:type="dxa" w:w="150"/>
            </w:tcMar>
          </w:tcPr>
          <w:p>
            <w:r>
              <w:rPr>
                <w:rFonts w:ascii="Arial" w:cs="Arial" w:eastAsia="Arial" w:hAnsi="Arial"/>
                <w:color w:val="333333"/>
                <w:sz w:val="19"/>
                <w:szCs w:val="19"/>
              </w:rPr>
              <w:t xml:space="preserve">Current Market Value − Outstanding Loan Balance(s)</w:t>
            </w:r>
          </w:p>
        </w:tc>
      </w:tr>
      <w:tr>
        <w:tc>
          <w:tcPr>
            <w:tcW w:type="dxa" w:w="3200"/>
            <w:shd w:fill="FFFFFF" w:val="clear"/>
            <w:tcMar>
              <w:top w:type="dxa" w:w="80"/>
              <w:left w:type="dxa" w:w="150"/>
              <w:bottom w:type="dxa" w:w="80"/>
              <w:right w:type="dxa" w:w="150"/>
            </w:tcMar>
          </w:tcPr>
          <w:p>
            <w:r>
              <w:rPr>
                <w:rFonts w:ascii="Arial" w:cs="Arial" w:eastAsia="Arial" w:hAnsi="Arial"/>
                <w:b/>
                <w:bCs/>
                <w:color w:val="E5431F"/>
                <w:sz w:val="19"/>
                <w:szCs w:val="19"/>
              </w:rPr>
              <w:t xml:space="preserve">Housing (Front-End) Ratio</w:t>
            </w:r>
          </w:p>
        </w:tc>
        <w:tc>
          <w:tcPr>
            <w:tcW w:type="dxa" w:w="5800"/>
            <w:shd w:fill="FFFFFF" w:val="clear"/>
            <w:tcMar>
              <w:top w:type="dxa" w:w="80"/>
              <w:left w:type="dxa" w:w="150"/>
              <w:bottom w:type="dxa" w:w="80"/>
              <w:right w:type="dxa" w:w="150"/>
            </w:tcMar>
          </w:tcPr>
          <w:p>
            <w:r>
              <w:rPr>
                <w:rFonts w:ascii="Arial" w:cs="Arial" w:eastAsia="Arial" w:hAnsi="Arial"/>
                <w:color w:val="333333"/>
                <w:sz w:val="19"/>
                <w:szCs w:val="19"/>
              </w:rPr>
              <w:t xml:space="preserve">Monthly PITI Payment ÷ Gross Monthly Income</w:t>
            </w:r>
          </w:p>
        </w:tc>
      </w:tr>
      <w:tr>
        <w:tc>
          <w:tcPr>
            <w:tcW w:type="dxa" w:w="3200"/>
            <w:shd w:fill="F4F1E6" w:val="clear"/>
            <w:tcMar>
              <w:top w:type="dxa" w:w="80"/>
              <w:left w:type="dxa" w:w="150"/>
              <w:bottom w:type="dxa" w:w="80"/>
              <w:right w:type="dxa" w:w="150"/>
            </w:tcMar>
          </w:tcPr>
          <w:p>
            <w:r>
              <w:rPr>
                <w:rFonts w:ascii="Arial" w:cs="Arial" w:eastAsia="Arial" w:hAnsi="Arial"/>
                <w:b/>
                <w:bCs/>
                <w:color w:val="E5431F"/>
                <w:sz w:val="19"/>
                <w:szCs w:val="19"/>
              </w:rPr>
              <w:t xml:space="preserve">Debt-to-Income (Back-End) Ratio</w:t>
            </w:r>
          </w:p>
        </w:tc>
        <w:tc>
          <w:tcPr>
            <w:tcW w:type="dxa" w:w="5800"/>
            <w:shd w:fill="F4F1E6" w:val="clear"/>
            <w:tcMar>
              <w:top w:type="dxa" w:w="80"/>
              <w:left w:type="dxa" w:w="150"/>
              <w:bottom w:type="dxa" w:w="80"/>
              <w:right w:type="dxa" w:w="150"/>
            </w:tcMar>
          </w:tcPr>
          <w:p>
            <w:r>
              <w:rPr>
                <w:rFonts w:ascii="Arial" w:cs="Arial" w:eastAsia="Arial" w:hAnsi="Arial"/>
                <w:color w:val="333333"/>
                <w:sz w:val="19"/>
                <w:szCs w:val="19"/>
              </w:rPr>
              <w:t xml:space="preserve">Total Monthly Debt Payments ÷ Gross Monthly Income</w:t>
            </w:r>
          </w:p>
        </w:tc>
      </w:tr>
    </w:tbl>
    <w:sectPr>
      <w:footerReference w:type="default" r:id="rId9"/>
      <w:pgSz w:w="12240" w:h="15840"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color w:val="555555"/>
        <w:sz w:val="16"/>
        <w:szCs w:val="16"/>
      </w:rPr>
      <w:t xml:space="preserve">REAL ESTATE RESOURCES ACADEMY   |   www.RERAcademy.com   |   Page </w:t>
    </w:r>
    <w:r>
      <w:rPr>
        <w:color w:val="555555"/>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color w:val="555555"/>
        <w:sz w:val="16"/>
        <w:szCs w:val="16"/>
      </w:rPr>
      <w:t xml:space="preserve">REAL ESTATE RESOURCES ACADEMY   |   www.RERAcademy.com   |   Page </w:t>
    </w:r>
    <w:r>
      <w:rPr>
        <w:color w:val="555555"/>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color w:val="555555"/>
        <w:sz w:val="16"/>
        <w:szCs w:val="16"/>
      </w:rPr>
      <w:t xml:space="preserve">REAL ESTATE RESOURCES ACADEMY   |   www.RERAcademy.com   |   Page </w:t>
    </w:r>
    <w:r>
      <w:rPr>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image" Target="media/896aae8b9957edbd904b2513869ce2d85090594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2026-09-12T15:38:40.805Z</dcterms:created>
  <dcterms:modified xsi:type="dcterms:W3CDTF">2026-09-12T15:38:40.808Z</dcterms:modified>
</cp:coreProperties>
</file>

<file path=docProps/custom.xml><?xml version="1.0" encoding="utf-8"?>
<Properties xmlns="http://schemas.openxmlformats.org/officeDocument/2006/custom-properties" xmlns:vt="http://schemas.openxmlformats.org/officeDocument/2006/docPropsVTypes"/>
</file>