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0"/>
        <w:jc w:val="center"/>
      </w:pPr>
      <w:r>
        <w:drawing>
          <wp:inline distT="0" distB="0" distL="0" distR="0">
            <wp:extent cx="2476500" cy="134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0" cy="1343025"/>
                    </a:xfrm>
                    <a:prstGeom prst="rect">
                      <a:avLst/>
                    </a:prstGeom>
                  </pic:spPr>
                </pic:pic>
              </a:graphicData>
            </a:graphic>
          </wp:inline>
        </w:drawing>
      </w:r>
    </w:p>
    <w:p>
      <w:pPr>
        <w:spacing w:before="700"/>
        <w:jc w:val="center"/>
      </w:pPr>
      <w:r>
        <w:rPr>
          <w:rFonts w:ascii="Arial" w:cs="Arial" w:eastAsia="Arial" w:hAnsi="Arial"/>
          <w:color w:val="16243E"/>
          <w:sz w:val="30"/>
          <w:szCs w:val="30"/>
        </w:rPr>
        <w:t xml:space="preserve">Georgia Real Estate Sales Pre-License + National Review</w:t>
      </w:r>
    </w:p>
    <w:p>
      <w:pPr>
        <w:spacing w:after="600"/>
        <w:jc w:val="center"/>
      </w:pPr>
      <w:r>
        <w:rPr>
          <w:rFonts w:ascii="Arial" w:cs="Arial" w:eastAsia="Arial" w:hAnsi="Arial"/>
          <w:b/>
          <w:bCs/>
          <w:color w:val="16243E"/>
          <w:sz w:val="36"/>
          <w:szCs w:val="36"/>
        </w:rPr>
        <w:t xml:space="preserve">Exam Guide Answer Key &amp; Explanations</w:t>
      </w:r>
    </w:p>
    <w:p>
      <w:pPr>
        <w:spacing w:before="800"/>
        <w:jc w:val="center"/>
      </w:pPr>
      <w:r>
        <w:rPr>
          <w:rFonts w:ascii="Arial" w:cs="Arial" w:eastAsia="Arial" w:hAnsi="Arial"/>
          <w:i/>
          <w:iCs/>
          <w:color w:val="677081"/>
          <w:sz w:val="22"/>
          <w:szCs w:val="22"/>
        </w:rPr>
        <w:t xml:space="preserve">300 Scenario-Based Questions (200 Georgia-Specific + 100 National Review) · Full Rationale for Every Answer Choice</w:t>
      </w:r>
    </w:p>
    <w:p>
      <w:pPr>
        <w:spacing w:before="1600"/>
        <w:jc w:val="center"/>
      </w:pPr>
      <w:r>
        <w:rPr>
          <w:rFonts w:ascii="Arial" w:cs="Arial" w:eastAsia="Arial" w:hAnsi="Arial"/>
          <w:color w:val="677081"/>
          <w:sz w:val="20"/>
          <w:szCs w:val="20"/>
        </w:rPr>
        <w:t xml:space="preserve">This answer key corresponds to the RERA GA RE Exam Guide interactive study platform. For each of the 300 questions, the correct answer is explained, and each incorrect choice is explained as well, so you understand not just what to pick, but why. Georgia-specific questions are numbered GA-001 through GA-200; national review questions are numbered US-001 through US-100.</w:t>
      </w:r>
    </w:p>
    <w:p>
      <w:r>
        <w:br w:type="page"/>
      </w:r>
    </w:p>
    <w:p>
      <w:pPr>
        <w:pStyle w:val="Heading1"/>
        <w:spacing w:after="260"/>
      </w:pPr>
      <w:r>
        <w:rPr>
          <w:rFonts w:ascii="Arial" w:cs="Arial" w:eastAsia="Arial" w:hAnsi="Arial"/>
          <w:color w:val="16243E"/>
        </w:rPr>
        <w:t xml:space="preserve">Copyright &amp; License</w:t>
      </w:r>
    </w:p>
    <w:p>
      <w:pPr>
        <w:spacing w:after="200"/>
      </w:pPr>
      <w:r>
        <w:rPr>
          <w:rFonts w:ascii="Arial" w:cs="Arial" w:eastAsia="Arial" w:hAnsi="Arial"/>
          <w:b/>
          <w:bCs/>
          <w:color w:val="16243E"/>
          <w:sz w:val="21"/>
          <w:szCs w:val="21"/>
        </w:rPr>
        <w:t xml:space="preserve">© 2026 RERA — Real Estate Resources Academy. All rights reserved.</w:t>
      </w:r>
    </w:p>
    <w:p>
      <w:pPr>
        <w:spacing w:after="160"/>
      </w:pPr>
      <w:r>
        <w:rPr>
          <w:rFonts w:ascii="Arial" w:cs="Arial" w:eastAsia="Arial" w:hAnsi="Arial"/>
          <w:color w:val="16243E"/>
          <w:sz w:val="20"/>
          <w:szCs w:val="20"/>
        </w:rPr>
        <w:t xml:space="preserve">This document, including all questions, scenarios, answer choices, and explanations, is an original work protected by U.S. and international copyright law. No part of this document may be reproduced, distributed, resold, posted online, shared, or transmitted in any form or by any means — including photocopying, screenshotting, scanning, or digital file sharing — without the prior written permission of the copyright owner.</w:t>
      </w:r>
    </w:p>
    <w:p>
      <w:pPr>
        <w:spacing w:after="100" w:before="200"/>
      </w:pPr>
      <w:r>
        <w:rPr>
          <w:rFonts w:ascii="Arial" w:cs="Arial" w:eastAsia="Arial" w:hAnsi="Arial"/>
          <w:b/>
          <w:bCs/>
          <w:color w:val="C13A18"/>
          <w:sz w:val="22"/>
          <w:szCs w:val="22"/>
        </w:rPr>
        <w:t xml:space="preserve">License Terms</w:t>
      </w:r>
    </w:p>
    <w:p>
      <w:pPr>
        <w:spacing w:after="100"/>
      </w:pPr>
      <w:r>
        <w:rPr>
          <w:rFonts w:ascii="Arial" w:cs="Arial" w:eastAsia="Arial" w:hAnsi="Arial"/>
          <w:color w:val="16243E"/>
          <w:sz w:val="20"/>
          <w:szCs w:val="20"/>
        </w:rPr>
        <w:t xml:space="preserve">Purchase of this document grants the buyer a single-user, non-transferable, personal-use license to use this material for their own individual exam preparation. This license does not permit:</w:t>
      </w:r>
    </w:p>
    <w:p>
      <w:pPr>
        <w:spacing w:after="60"/>
        <w:ind w:left="300"/>
      </w:pPr>
      <w:r>
        <w:rPr>
          <w:rFonts w:ascii="Arial" w:cs="Arial" w:eastAsia="Arial" w:hAnsi="Arial"/>
          <w:color w:val="16243E"/>
          <w:sz w:val="20"/>
          <w:szCs w:val="20"/>
        </w:rPr>
        <w:t xml:space="preserve">•  Sharing, reselling, or redistributing this file or its contents, in whole or in part, to any other person</w:t>
      </w:r>
    </w:p>
    <w:p>
      <w:pPr>
        <w:spacing w:after="60"/>
        <w:ind w:left="300"/>
      </w:pPr>
      <w:r>
        <w:rPr>
          <w:rFonts w:ascii="Arial" w:cs="Arial" w:eastAsia="Arial" w:hAnsi="Arial"/>
          <w:color w:val="16243E"/>
          <w:sz w:val="20"/>
          <w:szCs w:val="20"/>
        </w:rPr>
        <w:t xml:space="preserve">•  Posting this material, or any excerpt of it, on any website, course platform, cloud drive, social media page, or file-sharing service</w:t>
      </w:r>
    </w:p>
    <w:p>
      <w:pPr>
        <w:spacing w:after="60"/>
        <w:ind w:left="300"/>
      </w:pPr>
      <w:r>
        <w:rPr>
          <w:rFonts w:ascii="Arial" w:cs="Arial" w:eastAsia="Arial" w:hAnsi="Arial"/>
          <w:color w:val="16243E"/>
          <w:sz w:val="20"/>
          <w:szCs w:val="20"/>
        </w:rPr>
        <w:t xml:space="preserve">•  Using this material to train, fine-tune, or prompt any artificial intelligence or machine learning system</w:t>
      </w:r>
    </w:p>
    <w:p>
      <w:pPr>
        <w:spacing w:after="60"/>
        <w:ind w:left="300"/>
      </w:pPr>
      <w:r>
        <w:rPr>
          <w:rFonts w:ascii="Arial" w:cs="Arial" w:eastAsia="Arial" w:hAnsi="Arial"/>
          <w:color w:val="16243E"/>
          <w:sz w:val="20"/>
          <w:szCs w:val="20"/>
        </w:rPr>
        <w:t xml:space="preserve">•  Using this material for any commercial, instructional, or classroom purpose without a separate license</w:t>
      </w:r>
    </w:p>
    <w:p>
      <w:pPr>
        <w:spacing w:after="100" w:before="200"/>
      </w:pPr>
      <w:r>
        <w:rPr>
          <w:rFonts w:ascii="Arial" w:cs="Arial" w:eastAsia="Arial" w:hAnsi="Arial"/>
          <w:b/>
          <w:bCs/>
          <w:color w:val="C13A18"/>
          <w:sz w:val="22"/>
          <w:szCs w:val="22"/>
        </w:rPr>
        <w:t xml:space="preserve">Educational Disclaimer</w:t>
      </w:r>
    </w:p>
    <w:p>
      <w:pPr>
        <w:spacing w:after="100"/>
      </w:pPr>
      <w:r>
        <w:rPr>
          <w:rFonts w:ascii="Arial" w:cs="Arial" w:eastAsia="Arial" w:hAnsi="Arial"/>
          <w:color w:val="16243E"/>
          <w:sz w:val="20"/>
          <w:szCs w:val="20"/>
        </w:rPr>
        <w:t xml:space="preserve">This material is an independent study aid created for general educational purposes. It is not produced, endorsed, or affiliated with the Georgia Real Estate Commission (GREC), any state licensing authority, any pre-license school, or any national testing service. It is not a substitute for state-approved pre-license coursework. Real estate laws, rules, tax rates, and forms referenced in this material are subject to change; always verify current requirements with GREC, your course provider, or a licensed attorney before relying on this content for an actual transaction or exam. Completion of this material does not guarantee a passing score on any licensing examination.</w:t>
      </w:r>
    </w:p>
    <w:p>
      <w:r>
        <w:br w:type="page"/>
      </w:r>
    </w:p>
    <w:p>
      <w:pPr>
        <w:pStyle w:val="Heading1"/>
        <w:spacing w:after="260"/>
      </w:pPr>
      <w:r>
        <w:rPr>
          <w:rFonts w:ascii="Arial" w:cs="Arial" w:eastAsia="Arial" w:hAnsi="Arial"/>
          <w:color w:val="16243E"/>
        </w:rPr>
        <w:t xml:space="preserve">About RERA</w:t>
      </w:r>
    </w:p>
    <w:p>
      <w:pPr>
        <w:spacing w:after="160"/>
      </w:pPr>
      <w:r>
        <w:rPr>
          <w:rFonts w:ascii="Arial" w:cs="Arial" w:eastAsia="Arial" w:hAnsi="Arial"/>
          <w:color w:val="16243E"/>
          <w:sz w:val="22"/>
          <w:szCs w:val="22"/>
        </w:rPr>
        <w:t xml:space="preserve">The Real Estate Resources Academy was formed in 2004 by a group of Georgia Real Estate Professionals who realized the need to offer professional education at a reasonable price. We are a Georgia Real Estate Commission (GREC) approved school offering GREC approved courses in real estate.</w:t>
      </w:r>
    </w:p>
    <w:p>
      <w:pPr>
        <w:spacing w:before="200"/>
      </w:pPr>
      <w:r>
        <w:rPr>
          <w:rFonts w:ascii="Arial" w:cs="Arial" w:eastAsia="Arial" w:hAnsi="Arial"/>
          <w:b/>
          <w:bCs/>
          <w:color w:val="C13A18"/>
          <w:sz w:val="22"/>
          <w:szCs w:val="22"/>
        </w:rPr>
        <w:t xml:space="preserve">www.RERAcademy.com</w:t>
      </w:r>
    </w:p>
    <w:p>
      <w:r>
        <w:br w:type="page"/>
      </w:r>
    </w:p>
    <w:p>
      <w:pPr>
        <w:pStyle w:val="Heading1"/>
        <w:spacing w:after="300"/>
      </w:pPr>
      <w:r>
        <w:rPr>
          <w:rFonts w:ascii="Arial" w:cs="Arial" w:eastAsia="Arial" w:hAnsi="Arial"/>
          <w:color w:val="16243E"/>
        </w:rPr>
        <w:t xml:space="preserve">Contents</w:t>
      </w:r>
    </w:p>
    <w:p>
      <w:pPr>
        <w:spacing w:after="120"/>
      </w:pPr>
      <w:r>
        <w:rPr>
          <w:rFonts w:ascii="Arial" w:cs="Arial" w:eastAsia="Arial" w:hAnsi="Arial"/>
          <w:b/>
          <w:bCs/>
          <w:color w:val="16243E"/>
          <w:sz w:val="22"/>
          <w:szCs w:val="22"/>
        </w:rPr>
        <w:t xml:space="preserve">License Law &amp; GREC Rules</w:t>
      </w:r>
      <w:r>
        <w:rPr>
          <w:rFonts w:ascii="Arial" w:cs="Arial" w:eastAsia="Arial" w:hAnsi="Arial"/>
          <w:color w:val="677081"/>
          <w:sz w:val="18"/>
          <w:szCs w:val="18"/>
        </w:rPr>
        <w:t xml:space="preserve">   ·   Files GA-001–GA-030   ·   30 questions</w:t>
      </w:r>
    </w:p>
    <w:p>
      <w:pPr>
        <w:spacing w:after="120"/>
      </w:pPr>
      <w:r>
        <w:rPr>
          <w:rFonts w:ascii="Arial" w:cs="Arial" w:eastAsia="Arial" w:hAnsi="Arial"/>
          <w:b/>
          <w:bCs/>
          <w:color w:val="16243E"/>
          <w:sz w:val="22"/>
          <w:szCs w:val="22"/>
        </w:rPr>
        <w:t xml:space="preserve">Agency Relationships &amp; Duties</w:t>
      </w:r>
      <w:r>
        <w:rPr>
          <w:rFonts w:ascii="Arial" w:cs="Arial" w:eastAsia="Arial" w:hAnsi="Arial"/>
          <w:color w:val="677081"/>
          <w:sz w:val="18"/>
          <w:szCs w:val="18"/>
        </w:rPr>
        <w:t xml:space="preserve">   ·   Files GA-031–GA-060   ·   30 questions</w:t>
      </w:r>
    </w:p>
    <w:p>
      <w:pPr>
        <w:spacing w:after="120"/>
      </w:pPr>
      <w:r>
        <w:rPr>
          <w:rFonts w:ascii="Arial" w:cs="Arial" w:eastAsia="Arial" w:hAnsi="Arial"/>
          <w:b/>
          <w:bCs/>
          <w:color w:val="16243E"/>
          <w:sz w:val="22"/>
          <w:szCs w:val="22"/>
        </w:rPr>
        <w:t xml:space="preserve">Contracts &amp; GAR Forms</w:t>
      </w:r>
      <w:r>
        <w:rPr>
          <w:rFonts w:ascii="Arial" w:cs="Arial" w:eastAsia="Arial" w:hAnsi="Arial"/>
          <w:color w:val="677081"/>
          <w:sz w:val="18"/>
          <w:szCs w:val="18"/>
        </w:rPr>
        <w:t xml:space="preserve">   ·   Files GA-061–GA-090   ·   30 questions</w:t>
      </w:r>
    </w:p>
    <w:p>
      <w:pPr>
        <w:spacing w:after="120"/>
      </w:pPr>
      <w:r>
        <w:rPr>
          <w:rFonts w:ascii="Arial" w:cs="Arial" w:eastAsia="Arial" w:hAnsi="Arial"/>
          <w:b/>
          <w:bCs/>
          <w:color w:val="16243E"/>
          <w:sz w:val="22"/>
          <w:szCs w:val="22"/>
        </w:rPr>
        <w:t xml:space="preserve">BRRETA</w:t>
      </w:r>
      <w:r>
        <w:rPr>
          <w:rFonts w:ascii="Arial" w:cs="Arial" w:eastAsia="Arial" w:hAnsi="Arial"/>
          <w:color w:val="677081"/>
          <w:sz w:val="18"/>
          <w:szCs w:val="18"/>
        </w:rPr>
        <w:t xml:space="preserve">   ·   Files GA-091–GA-110   ·   20 questions</w:t>
      </w:r>
    </w:p>
    <w:p>
      <w:pPr>
        <w:spacing w:after="120"/>
      </w:pPr>
      <w:r>
        <w:rPr>
          <w:rFonts w:ascii="Arial" w:cs="Arial" w:eastAsia="Arial" w:hAnsi="Arial"/>
          <w:b/>
          <w:bCs/>
          <w:color w:val="16243E"/>
          <w:sz w:val="22"/>
          <w:szCs w:val="22"/>
        </w:rPr>
        <w:t xml:space="preserve">Fair Housing</w:t>
      </w:r>
      <w:r>
        <w:rPr>
          <w:rFonts w:ascii="Arial" w:cs="Arial" w:eastAsia="Arial" w:hAnsi="Arial"/>
          <w:color w:val="677081"/>
          <w:sz w:val="18"/>
          <w:szCs w:val="18"/>
        </w:rPr>
        <w:t xml:space="preserve">   ·   Files GA-111–GA-130   ·   20 questions</w:t>
      </w:r>
    </w:p>
    <w:p>
      <w:pPr>
        <w:spacing w:after="120"/>
      </w:pPr>
      <w:r>
        <w:rPr>
          <w:rFonts w:ascii="Arial" w:cs="Arial" w:eastAsia="Arial" w:hAnsi="Arial"/>
          <w:b/>
          <w:bCs/>
          <w:color w:val="16243E"/>
          <w:sz w:val="22"/>
          <w:szCs w:val="22"/>
        </w:rPr>
        <w:t xml:space="preserve">Finance &amp; Closing</w:t>
      </w:r>
      <w:r>
        <w:rPr>
          <w:rFonts w:ascii="Arial" w:cs="Arial" w:eastAsia="Arial" w:hAnsi="Arial"/>
          <w:color w:val="677081"/>
          <w:sz w:val="18"/>
          <w:szCs w:val="18"/>
        </w:rPr>
        <w:t xml:space="preserve">   ·   Files GA-131–GA-165   ·   35 questions</w:t>
      </w:r>
    </w:p>
    <w:p>
      <w:pPr>
        <w:spacing w:after="120"/>
      </w:pPr>
      <w:r>
        <w:rPr>
          <w:rFonts w:ascii="Arial" w:cs="Arial" w:eastAsia="Arial" w:hAnsi="Arial"/>
          <w:b/>
          <w:bCs/>
          <w:color w:val="16243E"/>
          <w:sz w:val="22"/>
          <w:szCs w:val="22"/>
        </w:rPr>
        <w:t xml:space="preserve">Ownership, Descriptions &amp; Math</w:t>
      </w:r>
      <w:r>
        <w:rPr>
          <w:rFonts w:ascii="Arial" w:cs="Arial" w:eastAsia="Arial" w:hAnsi="Arial"/>
          <w:color w:val="677081"/>
          <w:sz w:val="18"/>
          <w:szCs w:val="18"/>
        </w:rPr>
        <w:t xml:space="preserve">   ·   Files GA-166–GA-200   ·   35 questions</w:t>
      </w:r>
    </w:p>
    <w:p>
      <w:pPr>
        <w:spacing w:after="120"/>
      </w:pPr>
      <w:r>
        <w:rPr>
          <w:rFonts w:ascii="Arial" w:cs="Arial" w:eastAsia="Arial" w:hAnsi="Arial"/>
          <w:b/>
          <w:bCs/>
          <w:color w:val="16243E"/>
          <w:sz w:val="22"/>
          <w:szCs w:val="22"/>
        </w:rPr>
        <w:t xml:space="preserve">National: Agency &amp; Fiduciary Duties</w:t>
      </w:r>
      <w:r>
        <w:rPr>
          <w:rFonts w:ascii="Arial" w:cs="Arial" w:eastAsia="Arial" w:hAnsi="Arial"/>
          <w:color w:val="677081"/>
          <w:sz w:val="18"/>
          <w:szCs w:val="18"/>
        </w:rPr>
        <w:t xml:space="preserve">   ·   Files US-001–US-010   ·   10 questions</w:t>
      </w:r>
    </w:p>
    <w:p>
      <w:pPr>
        <w:spacing w:after="120"/>
      </w:pPr>
      <w:r>
        <w:rPr>
          <w:rFonts w:ascii="Arial" w:cs="Arial" w:eastAsia="Arial" w:hAnsi="Arial"/>
          <w:b/>
          <w:bCs/>
          <w:color w:val="16243E"/>
          <w:sz w:val="22"/>
          <w:szCs w:val="22"/>
        </w:rPr>
        <w:t xml:space="preserve">National: Contracts</w:t>
      </w:r>
      <w:r>
        <w:rPr>
          <w:rFonts w:ascii="Arial" w:cs="Arial" w:eastAsia="Arial" w:hAnsi="Arial"/>
          <w:color w:val="677081"/>
          <w:sz w:val="18"/>
          <w:szCs w:val="18"/>
        </w:rPr>
        <w:t xml:space="preserve">   ·   Files US-011–US-020   ·   10 questions</w:t>
      </w:r>
    </w:p>
    <w:p>
      <w:pPr>
        <w:spacing w:after="120"/>
      </w:pPr>
      <w:r>
        <w:rPr>
          <w:rFonts w:ascii="Arial" w:cs="Arial" w:eastAsia="Arial" w:hAnsi="Arial"/>
          <w:b/>
          <w:bCs/>
          <w:color w:val="16243E"/>
          <w:sz w:val="22"/>
          <w:szCs w:val="22"/>
        </w:rPr>
        <w:t xml:space="preserve">National: Fair Housing (Federal)</w:t>
      </w:r>
      <w:r>
        <w:rPr>
          <w:rFonts w:ascii="Arial" w:cs="Arial" w:eastAsia="Arial" w:hAnsi="Arial"/>
          <w:color w:val="677081"/>
          <w:sz w:val="18"/>
          <w:szCs w:val="18"/>
        </w:rPr>
        <w:t xml:space="preserve">   ·   Files US-021–US-030   ·   10 questions</w:t>
      </w:r>
    </w:p>
    <w:p>
      <w:pPr>
        <w:spacing w:after="120"/>
      </w:pPr>
      <w:r>
        <w:rPr>
          <w:rFonts w:ascii="Arial" w:cs="Arial" w:eastAsia="Arial" w:hAnsi="Arial"/>
          <w:b/>
          <w:bCs/>
          <w:color w:val="16243E"/>
          <w:sz w:val="22"/>
          <w:szCs w:val="22"/>
        </w:rPr>
        <w:t xml:space="preserve">National: Ownership &amp; Land Use Controls</w:t>
      </w:r>
      <w:r>
        <w:rPr>
          <w:rFonts w:ascii="Arial" w:cs="Arial" w:eastAsia="Arial" w:hAnsi="Arial"/>
          <w:color w:val="677081"/>
          <w:sz w:val="18"/>
          <w:szCs w:val="18"/>
        </w:rPr>
        <w:t xml:space="preserve">   ·   Files US-031–US-040   ·   10 questions</w:t>
      </w:r>
    </w:p>
    <w:p>
      <w:pPr>
        <w:spacing w:after="120"/>
      </w:pPr>
      <w:r>
        <w:rPr>
          <w:rFonts w:ascii="Arial" w:cs="Arial" w:eastAsia="Arial" w:hAnsi="Arial"/>
          <w:b/>
          <w:bCs/>
          <w:color w:val="16243E"/>
          <w:sz w:val="22"/>
          <w:szCs w:val="22"/>
        </w:rPr>
        <w:t xml:space="preserve">National: Real Estate Finance</w:t>
      </w:r>
      <w:r>
        <w:rPr>
          <w:rFonts w:ascii="Arial" w:cs="Arial" w:eastAsia="Arial" w:hAnsi="Arial"/>
          <w:color w:val="677081"/>
          <w:sz w:val="18"/>
          <w:szCs w:val="18"/>
        </w:rPr>
        <w:t xml:space="preserve">   ·   Files US-041–US-050   ·   10 questions</w:t>
      </w:r>
    </w:p>
    <w:p>
      <w:pPr>
        <w:spacing w:after="120"/>
      </w:pPr>
      <w:r>
        <w:rPr>
          <w:rFonts w:ascii="Arial" w:cs="Arial" w:eastAsia="Arial" w:hAnsi="Arial"/>
          <w:b/>
          <w:bCs/>
          <w:color w:val="16243E"/>
          <w:sz w:val="22"/>
          <w:szCs w:val="22"/>
        </w:rPr>
        <w:t xml:space="preserve">National: Valuation &amp; Appraisal</w:t>
      </w:r>
      <w:r>
        <w:rPr>
          <w:rFonts w:ascii="Arial" w:cs="Arial" w:eastAsia="Arial" w:hAnsi="Arial"/>
          <w:color w:val="677081"/>
          <w:sz w:val="18"/>
          <w:szCs w:val="18"/>
        </w:rPr>
        <w:t xml:space="preserve">   ·   Files US-051–US-058   ·   8 questions</w:t>
      </w:r>
    </w:p>
    <w:p>
      <w:pPr>
        <w:spacing w:after="120"/>
      </w:pPr>
      <w:r>
        <w:rPr>
          <w:rFonts w:ascii="Arial" w:cs="Arial" w:eastAsia="Arial" w:hAnsi="Arial"/>
          <w:b/>
          <w:bCs/>
          <w:color w:val="16243E"/>
          <w:sz w:val="22"/>
          <w:szCs w:val="22"/>
        </w:rPr>
        <w:t xml:space="preserve">National: Property Management &amp; Leasing</w:t>
      </w:r>
      <w:r>
        <w:rPr>
          <w:rFonts w:ascii="Arial" w:cs="Arial" w:eastAsia="Arial" w:hAnsi="Arial"/>
          <w:color w:val="677081"/>
          <w:sz w:val="18"/>
          <w:szCs w:val="18"/>
        </w:rPr>
        <w:t xml:space="preserve">   ·   Files US-059–US-065   ·   7 questions</w:t>
      </w:r>
    </w:p>
    <w:p>
      <w:pPr>
        <w:spacing w:after="120"/>
      </w:pPr>
      <w:r>
        <w:rPr>
          <w:rFonts w:ascii="Arial" w:cs="Arial" w:eastAsia="Arial" w:hAnsi="Arial"/>
          <w:b/>
          <w:bCs/>
          <w:color w:val="16243E"/>
          <w:sz w:val="22"/>
          <w:szCs w:val="22"/>
        </w:rPr>
        <w:t xml:space="preserve">National: Real Estate Math</w:t>
      </w:r>
      <w:r>
        <w:rPr>
          <w:rFonts w:ascii="Arial" w:cs="Arial" w:eastAsia="Arial" w:hAnsi="Arial"/>
          <w:color w:val="677081"/>
          <w:sz w:val="18"/>
          <w:szCs w:val="18"/>
        </w:rPr>
        <w:t xml:space="preserve">   ·   Files US-066–US-100   ·   35 questions</w:t>
      </w:r>
    </w:p>
    <w:p>
      <w:r>
        <w:br w:type="page"/>
      </w:r>
    </w:p>
    <w:p>
      <w:pPr>
        <w:pStyle w:val="Heading1"/>
        <w:spacing w:after="60" w:before="200"/>
      </w:pPr>
      <w:r>
        <w:rPr>
          <w:rFonts w:ascii="Arial" w:cs="Arial" w:eastAsia="Arial" w:hAnsi="Arial"/>
          <w:color w:val="16243E"/>
        </w:rPr>
        <w:t xml:space="preserve">License Law &amp; GREC Rules</w:t>
      </w:r>
    </w:p>
    <w:p>
      <w:pPr>
        <w:pBdr>
          <w:bottom w:val="single" w:color="E5431F" w:sz="8" w:space="4"/>
        </w:pBdr>
        <w:spacing w:after="300"/>
      </w:pPr>
      <w:r>
        <w:rPr>
          <w:rFonts w:ascii="Arial" w:cs="Arial" w:eastAsia="Arial" w:hAnsi="Arial"/>
          <w:i/>
          <w:iCs/>
          <w:color w:val="677081"/>
          <w:sz w:val="18"/>
          <w:szCs w:val="18"/>
        </w:rPr>
        <w:t xml:space="preserve">30 questions in this section</w:t>
      </w:r>
    </w:p>
    <w:p>
      <w:pPr>
        <w:spacing w:after="60" w:before="260"/>
      </w:pPr>
      <w:r>
        <w:rPr>
          <w:rFonts w:ascii="Arial" w:cs="Arial" w:eastAsia="Arial" w:hAnsi="Arial"/>
          <w:b/>
          <w:bCs/>
          <w:color w:val="C13A18"/>
          <w:sz w:val="18"/>
          <w:szCs w:val="18"/>
        </w:rPr>
        <w:t xml:space="preserve">QUESTION GA-001</w:t>
      </w:r>
    </w:p>
    <w:p>
      <w:pPr>
        <w:spacing w:after="140"/>
      </w:pPr>
      <w:r>
        <w:rPr>
          <w:rFonts w:ascii="Arial" w:cs="Arial" w:eastAsia="Arial" w:hAnsi="Arial"/>
          <w:i/>
          <w:iCs/>
          <w:color w:val="16243E"/>
          <w:sz w:val="22"/>
          <w:szCs w:val="22"/>
        </w:rPr>
        <w:t xml:space="preserve">A newly licensed salesperson wants to hang their license and start showing property before their broker has filed any paperwork with the state.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salesperson only needs to notify the local board of REALTORS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The salesperson must wait until the broker affiliates the license with GREC and it becomes active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salesperson may practice immediately since passing the exam grants authority to act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salesperson may practice under a 30-day provisional license automatically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Local REALTOR boards are private trade associations and have no authority over license activation.</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Georgia law requires a broker to affiliate a new licensee with GREC before that license is active and the person may legally practice.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Passing the exam only qualifies a person for licensure; it does not itself authorize practice.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Georgia does not issue an automatic 30-day provisional license for this situation.</w:t>
      </w:r>
    </w:p>
    <w:p>
      <w:pPr>
        <w:spacing w:after="60" w:before="260"/>
      </w:pPr>
      <w:r>
        <w:rPr>
          <w:rFonts w:ascii="Arial" w:cs="Arial" w:eastAsia="Arial" w:hAnsi="Arial"/>
          <w:b/>
          <w:bCs/>
          <w:color w:val="C13A18"/>
          <w:sz w:val="18"/>
          <w:szCs w:val="18"/>
        </w:rPr>
        <w:t xml:space="preserve">QUESTION GA-002</w:t>
      </w:r>
    </w:p>
    <w:p>
      <w:pPr>
        <w:spacing w:after="140"/>
      </w:pPr>
      <w:r>
        <w:rPr>
          <w:rFonts w:ascii="Arial" w:cs="Arial" w:eastAsia="Arial" w:hAnsi="Arial"/>
          <w:i/>
          <w:iCs/>
          <w:color w:val="16243E"/>
          <w:sz w:val="22"/>
          <w:szCs w:val="22"/>
        </w:rPr>
        <w:t xml:space="preserve">A broker discovers that an affiliated salesperson has been depositing earnest money checks directly into the salesperson's personal checking account.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acceptable as long as the salesperson reports it to the broker monthly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acceptable if the client signs a waiver</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violates Georgia law, since only the broker may maintain and control trust funds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acceptable only for cash, not for checks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Monthly reporting does not cure the violation; the funds should never have gone into a personal account.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client waiver cannot override GREC's trust account requirements, which exist to protect the public generally.</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Georgia law requires all trust funds be handled through the broker's trust account, not a licensee's personal account, regardless of form.</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type of funds (cash vs. check) does not change the requirement that trust money go through the broker.</w:t>
      </w:r>
    </w:p>
    <w:p>
      <w:pPr>
        <w:spacing w:after="60" w:before="260"/>
      </w:pPr>
      <w:r>
        <w:rPr>
          <w:rFonts w:ascii="Arial" w:cs="Arial" w:eastAsia="Arial" w:hAnsi="Arial"/>
          <w:b/>
          <w:bCs/>
          <w:color w:val="C13A18"/>
          <w:sz w:val="18"/>
          <w:szCs w:val="18"/>
        </w:rPr>
        <w:t xml:space="preserve">QUESTION GA-003</w:t>
      </w:r>
    </w:p>
    <w:p>
      <w:pPr>
        <w:spacing w:after="140"/>
      </w:pPr>
      <w:r>
        <w:rPr>
          <w:rFonts w:ascii="Arial" w:cs="Arial" w:eastAsia="Arial" w:hAnsi="Arial"/>
          <w:i/>
          <w:iCs/>
          <w:color w:val="16243E"/>
          <w:sz w:val="22"/>
          <w:szCs w:val="22"/>
        </w:rPr>
        <w:t xml:space="preserve">A licensee's renewal date has passed and the license lapsed for four months before the licensee remembers to act.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license can be renewed online with no restriction regardless of lapse length</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Because the lapse is under 24 months the licensee can still renew without retaking the exam, subject to any required late fee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licensee must wait a full year before reapplying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license is permanently revoked after any lapse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lapse still triggers renewal requirements and possible late fees; it is not renewal 'with no restriction.'</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Georgia allows license renewal within 24 months of expiration without retesting, typically with a late penalty.</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mandatory one-year waiting period for a lapse this short.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lapse of this length does not result in permanent revocation.</w:t>
      </w:r>
    </w:p>
    <w:p>
      <w:pPr>
        <w:spacing w:after="60" w:before="260"/>
      </w:pPr>
      <w:r>
        <w:rPr>
          <w:rFonts w:ascii="Arial" w:cs="Arial" w:eastAsia="Arial" w:hAnsi="Arial"/>
          <w:b/>
          <w:bCs/>
          <w:color w:val="C13A18"/>
          <w:sz w:val="18"/>
          <w:szCs w:val="18"/>
        </w:rPr>
        <w:t xml:space="preserve">QUESTION GA-004</w:t>
      </w:r>
    </w:p>
    <w:p>
      <w:pPr>
        <w:spacing w:after="140"/>
      </w:pPr>
      <w:r>
        <w:rPr>
          <w:rFonts w:ascii="Arial" w:cs="Arial" w:eastAsia="Arial" w:hAnsi="Arial"/>
          <w:i/>
          <w:iCs/>
          <w:color w:val="16243E"/>
          <w:sz w:val="22"/>
          <w:szCs w:val="22"/>
        </w:rPr>
        <w:t xml:space="preserve">A broker wants to open a second, separate real estate office location across town.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Only the qualifying broker in person may ever staff any branch office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broker may simply open the office with no notice required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Branch offices are prohibited under Georgia law</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broker must place a licensed broker or associate broker in charge of that branch office and notify GREC</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qualifying broker does not have to personally staff every branch; a designated broker in charge can be assigned.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Branch offices require GREC notification and a broker in charge, so opening with no notice is not permitted.</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Branch offices are expressly permitted under Georgia license law when properly registered.</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Georgia requires each branch office to have a broker or associate broker in charge and requires notice to the Commission.</w:t>
      </w:r>
    </w:p>
    <w:p>
      <w:pPr>
        <w:spacing w:after="60" w:before="260"/>
      </w:pPr>
      <w:r>
        <w:rPr>
          <w:rFonts w:ascii="Arial" w:cs="Arial" w:eastAsia="Arial" w:hAnsi="Arial"/>
          <w:b/>
          <w:bCs/>
          <w:color w:val="C13A18"/>
          <w:sz w:val="18"/>
          <w:szCs w:val="18"/>
        </w:rPr>
        <w:t xml:space="preserve">QUESTION GA-005</w:t>
      </w:r>
    </w:p>
    <w:p>
      <w:pPr>
        <w:spacing w:after="140"/>
      </w:pPr>
      <w:r>
        <w:rPr>
          <w:rFonts w:ascii="Arial" w:cs="Arial" w:eastAsia="Arial" w:hAnsi="Arial"/>
          <w:i/>
          <w:iCs/>
          <w:color w:val="16243E"/>
          <w:sz w:val="22"/>
          <w:szCs w:val="22"/>
        </w:rPr>
        <w:t xml:space="preserve">An unlicensed friend helps a licensee host an open house by greeting visitors and handing out flyers, but does not discuss price, terms, or answer questions about the property.</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permitted only if the friend is paid a flat hourly wage, not commission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violates license law because only licensees may enter a home for sale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is permitted, since purely clerical or ministerial tasks do not require a license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prohibited under all circumstances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compensation method is irrelevant here; the issue is whether the person performs activities that require a license.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Being present in a listed home is not itself restricted to licensees.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Georgia law allows unlicensed individuals to perform ministerial acts, such as greeting guests, as long as they do not negotiate or discuss terms.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Ministerial support at an open house is not prohibited when no licensed activity is performed.</w:t>
      </w:r>
    </w:p>
    <w:p>
      <w:pPr>
        <w:spacing w:after="60" w:before="260"/>
      </w:pPr>
      <w:r>
        <w:rPr>
          <w:rFonts w:ascii="Arial" w:cs="Arial" w:eastAsia="Arial" w:hAnsi="Arial"/>
          <w:b/>
          <w:bCs/>
          <w:color w:val="C13A18"/>
          <w:sz w:val="18"/>
          <w:szCs w:val="18"/>
        </w:rPr>
        <w:t xml:space="preserve">QUESTION GA-006</w:t>
      </w:r>
    </w:p>
    <w:p>
      <w:pPr>
        <w:spacing w:after="140"/>
      </w:pPr>
      <w:r>
        <w:rPr>
          <w:rFonts w:ascii="Arial" w:cs="Arial" w:eastAsia="Arial" w:hAnsi="Arial"/>
          <w:i/>
          <w:iCs/>
          <w:color w:val="16243E"/>
          <w:sz w:val="22"/>
          <w:szCs w:val="22"/>
        </w:rPr>
        <w:t xml:space="preserve">A GREC investigator contacts a broker regarding a consumer complaint. The broker ignores repeated requests for records over several weeks.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Failing to cooperate with a GREC investigation can itself result in disciplinary action against the license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broker can only be penalized if the underlying complaint is proven true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broker faces no consequence since GREC has no subpoena power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GREC must obtain a court order before a broker is required to respond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Georgia law treats failure to cooperate with a lawful GREC investigation as separate grounds for discipline, independent of the original complaint's outcome.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Discipline for non-cooperation can occur even if the original complaint is never substantiated.</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GREC does have authority to compel records and investigate licensees.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GREC can request licensee records directly as part of its statutory investigative authority.</w:t>
      </w:r>
    </w:p>
    <w:p>
      <w:pPr>
        <w:spacing w:after="60" w:before="260"/>
      </w:pPr>
      <w:r>
        <w:rPr>
          <w:rFonts w:ascii="Arial" w:cs="Arial" w:eastAsia="Arial" w:hAnsi="Arial"/>
          <w:b/>
          <w:bCs/>
          <w:color w:val="C13A18"/>
          <w:sz w:val="18"/>
          <w:szCs w:val="18"/>
        </w:rPr>
        <w:t xml:space="preserve">QUESTION GA-007</w:t>
      </w:r>
    </w:p>
    <w:p>
      <w:pPr>
        <w:spacing w:after="140"/>
      </w:pPr>
      <w:r>
        <w:rPr>
          <w:rFonts w:ascii="Arial" w:cs="Arial" w:eastAsia="Arial" w:hAnsi="Arial"/>
          <w:i/>
          <w:iCs/>
          <w:color w:val="16243E"/>
          <w:sz w:val="22"/>
          <w:szCs w:val="22"/>
        </w:rPr>
        <w:t xml:space="preserve">A salesperson advertises a listing using only their personal name and cell number, without mentioning their firm at all.</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acceptable as long as the salesperson is licensed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This violates advertising rules, since all advertising must include the firm name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acceptable if the salesperson has been licensed more than five years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acceptable only for online ads, not print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Being licensed does not exempt a licensee from the firm-name disclosure requirement in advertising.</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GREC rules require that advertising identify the firm the licensee is affiliated with, not just the individual.</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Years of licensure have no bearing on the advertising disclosure rule.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medium of the ad, print or online, does not change the firm-name requirement.</w:t>
      </w:r>
    </w:p>
    <w:p>
      <w:pPr>
        <w:spacing w:after="60" w:before="260"/>
      </w:pPr>
      <w:r>
        <w:rPr>
          <w:rFonts w:ascii="Arial" w:cs="Arial" w:eastAsia="Arial" w:hAnsi="Arial"/>
          <w:b/>
          <w:bCs/>
          <w:color w:val="C13A18"/>
          <w:sz w:val="18"/>
          <w:szCs w:val="18"/>
        </w:rPr>
        <w:t xml:space="preserve">QUESTION GA-008</w:t>
      </w:r>
    </w:p>
    <w:p>
      <w:pPr>
        <w:spacing w:after="140"/>
      </w:pPr>
      <w:r>
        <w:rPr>
          <w:rFonts w:ascii="Arial" w:cs="Arial" w:eastAsia="Arial" w:hAnsi="Arial"/>
          <w:i/>
          <w:iCs/>
          <w:color w:val="16243E"/>
          <w:sz w:val="22"/>
          <w:szCs w:val="22"/>
        </w:rPr>
        <w:t xml:space="preserve">A broker's trust account reconciliation shows the account balance is lower than the sum of all funds the broker is supposed to be holding for clients.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only a problem if a client specifically complains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 normal timing difference and requires no action</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indicates a possible shortage that the broker must investigate and correct immediately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can be resolved by transferring personal funds only after the next audit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Regulatory obligations regarding trust funds exist independent of whether a client complains.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trust account shortage is not treated as routine; it signals commingling or misuse of client funds and must be addressed at once.</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Brokers are required to reconcile trust accounts and correct shortages promptly to remain compliant and protect client funds.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Waiting for an audit before correcting a known shortage would compound the violation.</w:t>
      </w:r>
    </w:p>
    <w:p>
      <w:pPr>
        <w:spacing w:after="60" w:before="260"/>
      </w:pPr>
      <w:r>
        <w:rPr>
          <w:rFonts w:ascii="Arial" w:cs="Arial" w:eastAsia="Arial" w:hAnsi="Arial"/>
          <w:b/>
          <w:bCs/>
          <w:color w:val="C13A18"/>
          <w:sz w:val="18"/>
          <w:szCs w:val="18"/>
        </w:rPr>
        <w:t xml:space="preserve">QUESTION GA-009</w:t>
      </w:r>
    </w:p>
    <w:p>
      <w:pPr>
        <w:spacing w:after="140"/>
      </w:pPr>
      <w:r>
        <w:rPr>
          <w:rFonts w:ascii="Arial" w:cs="Arial" w:eastAsia="Arial" w:hAnsi="Arial"/>
          <w:i/>
          <w:iCs/>
          <w:color w:val="16243E"/>
          <w:sz w:val="22"/>
          <w:szCs w:val="22"/>
        </w:rPr>
        <w:t xml:space="preserve">A licensee wants to place a 'For Sale' sign in a client's yard but the sign only shows a phone number, with no company name visible.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violates GREC advertising rules requiring the firm name to appear on the sign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fine as long as the sign is under a certain size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only applies to commercial listings, not residential</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complies with Georgia sign rules since a phone number is sufficient identification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Georgia advertising rules require the firm's name to be displayed on for-sale signage, not just a licensee's contact number.</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Sign size is a local ordinance matter and does not exempt a sign from the firm-name requirement.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firm-name requirement applies to residential and commercial signage alike.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phone number alone does not satisfy the firm-name disclosure requirement.</w:t>
      </w:r>
    </w:p>
    <w:p>
      <w:pPr>
        <w:spacing w:after="60" w:before="260"/>
      </w:pPr>
      <w:r>
        <w:rPr>
          <w:rFonts w:ascii="Arial" w:cs="Arial" w:eastAsia="Arial" w:hAnsi="Arial"/>
          <w:b/>
          <w:bCs/>
          <w:color w:val="C13A18"/>
          <w:sz w:val="18"/>
          <w:szCs w:val="18"/>
        </w:rPr>
        <w:t xml:space="preserve">QUESTION GA-010</w:t>
      </w:r>
    </w:p>
    <w:p>
      <w:pPr>
        <w:spacing w:after="140"/>
      </w:pPr>
      <w:r>
        <w:rPr>
          <w:rFonts w:ascii="Arial" w:cs="Arial" w:eastAsia="Arial" w:hAnsi="Arial"/>
          <w:i/>
          <w:iCs/>
          <w:color w:val="16243E"/>
          <w:sz w:val="22"/>
          <w:szCs w:val="22"/>
        </w:rPr>
        <w:t xml:space="preserve">A licensee's broker terminates the affiliation. The licensee wants to keep practicing under the old broker's name while searching for a new firm.</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permitted as long as the old broker verbally agrees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The license becomes inactive immediately upon termination until affiliated with a new broker</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permitted for up to 30 days after termination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permitted only in rural counties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Verbal permission from a former broker cannot substitute for a proper GREC-recorded affiliation.</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Once affiliation ends, the license reverts to inactive status until the licensee affiliates with a new sponsoring broker.</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Georgia law does not grant a 30-day grace period to keep operating under a former broker.</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There is no rural/urban distinction in this rule; it applies statewide.</w:t>
      </w:r>
    </w:p>
    <w:p>
      <w:pPr>
        <w:spacing w:after="60" w:before="260"/>
      </w:pPr>
      <w:r>
        <w:rPr>
          <w:rFonts w:ascii="Arial" w:cs="Arial" w:eastAsia="Arial" w:hAnsi="Arial"/>
          <w:b/>
          <w:bCs/>
          <w:color w:val="C13A18"/>
          <w:sz w:val="18"/>
          <w:szCs w:val="18"/>
        </w:rPr>
        <w:t xml:space="preserve">QUESTION GA-011</w:t>
      </w:r>
    </w:p>
    <w:p>
      <w:pPr>
        <w:spacing w:after="140"/>
      </w:pPr>
      <w:r>
        <w:rPr>
          <w:rFonts w:ascii="Arial" w:cs="Arial" w:eastAsia="Arial" w:hAnsi="Arial"/>
          <w:i/>
          <w:iCs/>
          <w:color w:val="16243E"/>
          <w:sz w:val="22"/>
          <w:szCs w:val="22"/>
        </w:rPr>
        <w:t xml:space="preserve">A broker in charge wants to let an unlicensed personal assistant negotiate a repair credit with a buyer's agent during a transaction.</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is not permitted, because negotiating terms is an activity that requires a license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permitted if the client gives written consent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permitted since the assistant works directly for the broker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permitted only for repairs under $1,000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Negotiating price, terms, or conditions on behalf of a party is a licensed activity in Georgia and cannot be delegated to an unlicensed person.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Client consent cannot authorize an unlicensed person to perform activities that legally require a license.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Working for the broker does not exempt an unlicensed assistant from license law's activity restrictions.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There is no dollar threshold that allows unlicensed negotiation.</w:t>
      </w:r>
    </w:p>
    <w:p>
      <w:pPr>
        <w:spacing w:after="60" w:before="260"/>
      </w:pPr>
      <w:r>
        <w:rPr>
          <w:rFonts w:ascii="Arial" w:cs="Arial" w:eastAsia="Arial" w:hAnsi="Arial"/>
          <w:b/>
          <w:bCs/>
          <w:color w:val="C13A18"/>
          <w:sz w:val="18"/>
          <w:szCs w:val="18"/>
        </w:rPr>
        <w:t xml:space="preserve">QUESTION GA-012</w:t>
      </w:r>
    </w:p>
    <w:p>
      <w:pPr>
        <w:spacing w:after="140"/>
      </w:pPr>
      <w:r>
        <w:rPr>
          <w:rFonts w:ascii="Arial" w:cs="Arial" w:eastAsia="Arial" w:hAnsi="Arial"/>
          <w:i/>
          <w:iCs/>
          <w:color w:val="16243E"/>
          <w:sz w:val="22"/>
          <w:szCs w:val="22"/>
        </w:rPr>
        <w:t xml:space="preserve">A salesperson completes their required post-license education but misses the deadline to submit proof to GREC by a few weeks.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license is automatically upgraded regardless of when proof is submitted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Missing this deadline has no effect since the course itself was completed on time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GREC extends deadlines automatically for all licensees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license can be placed in a lapsed or restricted status until proof is received</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Automatic upgrade does not occur without documentation reaching GREC by the required timeline.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Completing the course is necessary but not sufficient; timely reporting to GREC is also required.</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Deadline extensions are not automatic; they require the licensee to act.</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GREC can restrict or lapse a license when required proof of post-license education is not submitted timely.</w:t>
      </w:r>
    </w:p>
    <w:p>
      <w:pPr>
        <w:spacing w:after="60" w:before="260"/>
      </w:pPr>
      <w:r>
        <w:rPr>
          <w:rFonts w:ascii="Arial" w:cs="Arial" w:eastAsia="Arial" w:hAnsi="Arial"/>
          <w:b/>
          <w:bCs/>
          <w:color w:val="C13A18"/>
          <w:sz w:val="18"/>
          <w:szCs w:val="18"/>
        </w:rPr>
        <w:t xml:space="preserve">QUESTION GA-013</w:t>
      </w:r>
    </w:p>
    <w:p>
      <w:pPr>
        <w:spacing w:after="140"/>
      </w:pPr>
      <w:r>
        <w:rPr>
          <w:rFonts w:ascii="Arial" w:cs="Arial" w:eastAsia="Arial" w:hAnsi="Arial"/>
          <w:i/>
          <w:iCs/>
          <w:color w:val="16243E"/>
          <w:sz w:val="22"/>
          <w:szCs w:val="22"/>
        </w:rPr>
        <w:t xml:space="preserve">A licensee is convicted of a felony unrelated to real estate. The licensee does not report it to GREC, assuming it is irrelevant to their license.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licensee is correct, since unrelated convictions do not need to be reported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Georgia law requires licensees to report certain convictions to GREC regardless of whether they are real-estate related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Only convictions occurring in Georgia must be reported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Only felony convictions involving fraud must ever be reported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relevance of the conviction to real estate is not the deciding factor under Georgia's reporting requirement.</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Georgia licensees must report qualifying criminal convictions to GREC within a required timeframe, and failure to do so is itself a violation.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reporting duty is not limited to convictions occurring within Georgia.</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duty is not limited to fraud-related offenses; other qualifying convictions must be reported as well.</w:t>
      </w:r>
    </w:p>
    <w:p>
      <w:pPr>
        <w:spacing w:after="60" w:before="260"/>
      </w:pPr>
      <w:r>
        <w:rPr>
          <w:rFonts w:ascii="Arial" w:cs="Arial" w:eastAsia="Arial" w:hAnsi="Arial"/>
          <w:b/>
          <w:bCs/>
          <w:color w:val="C13A18"/>
          <w:sz w:val="18"/>
          <w:szCs w:val="18"/>
        </w:rPr>
        <w:t xml:space="preserve">QUESTION GA-014</w:t>
      </w:r>
    </w:p>
    <w:p>
      <w:pPr>
        <w:spacing w:after="140"/>
      </w:pPr>
      <w:r>
        <w:rPr>
          <w:rFonts w:ascii="Arial" w:cs="Arial" w:eastAsia="Arial" w:hAnsi="Arial"/>
          <w:i/>
          <w:iCs/>
          <w:color w:val="16243E"/>
          <w:sz w:val="22"/>
          <w:szCs w:val="22"/>
        </w:rPr>
        <w:t xml:space="preserve">A broker in charge resigns from a firm, and no other broker is designated to take over that role.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firm may continue operating indefinitely without a broker in charge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Salespersons at the firm may act as the broker in charge automatically</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The firm's license activity is jeopardized until a new broker in charge is designated with GREC</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GREC assigns a broker in charge on the firm's behalf</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firm cannot operate indefinitely without a properly designated broker in charge.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salesperson cannot automatically assume the broker in charge role; that role requires broker-level licensure and proper designation.</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Every licensed firm must have a broker in charge on file with GREC, and the firm's status is at risk until one is designated.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GREC does not assign a broker in charge for a firm; the firm must designate one.</w:t>
      </w:r>
    </w:p>
    <w:p>
      <w:pPr>
        <w:spacing w:after="60" w:before="260"/>
      </w:pPr>
      <w:r>
        <w:rPr>
          <w:rFonts w:ascii="Arial" w:cs="Arial" w:eastAsia="Arial" w:hAnsi="Arial"/>
          <w:b/>
          <w:bCs/>
          <w:color w:val="C13A18"/>
          <w:sz w:val="18"/>
          <w:szCs w:val="18"/>
        </w:rPr>
        <w:t xml:space="preserve">QUESTION GA-015</w:t>
      </w:r>
    </w:p>
    <w:p>
      <w:pPr>
        <w:spacing w:after="140"/>
      </w:pPr>
      <w:r>
        <w:rPr>
          <w:rFonts w:ascii="Arial" w:cs="Arial" w:eastAsia="Arial" w:hAnsi="Arial"/>
          <w:i/>
          <w:iCs/>
          <w:color w:val="16243E"/>
          <w:sz w:val="22"/>
          <w:szCs w:val="22"/>
        </w:rPr>
        <w:t xml:space="preserve">A licensee wants to represent that they are a 'Realtor' in advertising, but they are not a member of the National Association of REALTORS.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acceptable in rural markets only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acceptable if the licensee has more than ten years of experience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is misleading advertising, because Realtor is a trademarked designation limited to NAR members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acceptable since 'Realtor' and 'real estate agent' mean the same thing legally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There is no geographic exception to trademark and advertising rules.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Years of experience do not entitle a non-member to use the Realtor trademark.</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Using the Realtor trademark without NAR membership is misleading and can violate advertising and trademark rules.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two terms are not legally interchangeable; Realtor is a specific membership designation.</w:t>
      </w:r>
    </w:p>
    <w:p>
      <w:pPr>
        <w:spacing w:after="60" w:before="260"/>
      </w:pPr>
      <w:r>
        <w:rPr>
          <w:rFonts w:ascii="Arial" w:cs="Arial" w:eastAsia="Arial" w:hAnsi="Arial"/>
          <w:b/>
          <w:bCs/>
          <w:color w:val="C13A18"/>
          <w:sz w:val="18"/>
          <w:szCs w:val="18"/>
        </w:rPr>
        <w:t xml:space="preserve">QUESTION GA-016</w:t>
      </w:r>
    </w:p>
    <w:p>
      <w:pPr>
        <w:spacing w:after="140"/>
      </w:pPr>
      <w:r>
        <w:rPr>
          <w:rFonts w:ascii="Arial" w:cs="Arial" w:eastAsia="Arial" w:hAnsi="Arial"/>
          <w:i/>
          <w:iCs/>
          <w:color w:val="16243E"/>
          <w:sz w:val="22"/>
          <w:szCs w:val="22"/>
        </w:rPr>
        <w:t xml:space="preserve">A licensee is not actively practicing and wants to keep their license valid without maintaining an affiliation with a broker.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GREC automatically converts unaffiliated licenses to salesperson-emeritus status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licensee must surrender the license entirely if not affiliated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not possible; every active license must be affiliated with a broker</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licensee can place the license on inactive status and skip affiliation while remaining licensed</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Georgia does not have a 'salesperson-emeritus' status created automatically by GREC.</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Surrendering the license is unnecessary; inactive status is available instead.</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An active license does require broker affiliation, but that's not the only status available.</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Georgia allows a license to be placed on inactive status, which does not require broker affiliation, while still preserving the license.</w:t>
      </w:r>
    </w:p>
    <w:p>
      <w:pPr>
        <w:spacing w:after="60" w:before="260"/>
      </w:pPr>
      <w:r>
        <w:rPr>
          <w:rFonts w:ascii="Arial" w:cs="Arial" w:eastAsia="Arial" w:hAnsi="Arial"/>
          <w:b/>
          <w:bCs/>
          <w:color w:val="C13A18"/>
          <w:sz w:val="18"/>
          <w:szCs w:val="18"/>
        </w:rPr>
        <w:t xml:space="preserve">QUESTION GA-017</w:t>
      </w:r>
    </w:p>
    <w:p>
      <w:pPr>
        <w:spacing w:after="140"/>
      </w:pPr>
      <w:r>
        <w:rPr>
          <w:rFonts w:ascii="Arial" w:cs="Arial" w:eastAsia="Arial" w:hAnsi="Arial"/>
          <w:i/>
          <w:iCs/>
          <w:color w:val="16243E"/>
          <w:sz w:val="22"/>
          <w:szCs w:val="22"/>
        </w:rPr>
        <w:t xml:space="preserve">A broker pays a referral fee to a former client, who is unlicensed, for sending a new buyer to the firm.</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permitted as long as the fee is under $500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This generally violates license law, which prohibits paying compensation for real estate activity to unlicensed persons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permitted only for commercial referrals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permitted if the client signs a 1099 form</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There is no dollar-amount exception that makes an unlicensed referral fee lawful.</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Georgia law restricts paying compensation tied to real estate transactions to licensed individuals or entities, with narrow statutory exceptions; an unlicensed referral fee generally does not qualify.</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restriction is not limited to commercial transactions; it applies broadly.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1099 tax form does not create a license-law exemption.</w:t>
      </w:r>
    </w:p>
    <w:p>
      <w:pPr>
        <w:spacing w:after="60" w:before="260"/>
      </w:pPr>
      <w:r>
        <w:rPr>
          <w:rFonts w:ascii="Arial" w:cs="Arial" w:eastAsia="Arial" w:hAnsi="Arial"/>
          <w:b/>
          <w:bCs/>
          <w:color w:val="C13A18"/>
          <w:sz w:val="18"/>
          <w:szCs w:val="18"/>
        </w:rPr>
        <w:t xml:space="preserve">QUESTION GA-018</w:t>
      </w:r>
    </w:p>
    <w:p>
      <w:pPr>
        <w:spacing w:after="140"/>
      </w:pPr>
      <w:r>
        <w:rPr>
          <w:rFonts w:ascii="Arial" w:cs="Arial" w:eastAsia="Arial" w:hAnsi="Arial"/>
          <w:i/>
          <w:iCs/>
          <w:color w:val="16243E"/>
          <w:sz w:val="22"/>
          <w:szCs w:val="22"/>
        </w:rPr>
        <w:t xml:space="preserve">A licensee's address on file with GREC is no longer current after a recent move, and the licensee has not updated it.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Licensees are required to keep their address current with GREC and failing to do so can create compliance problems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has no consequence since GREC primarily uses email for communication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Only brokers must maintain a current address, not salespersons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requirement only applies if the licensee changes counties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GREC requires licensees to keep contact information updated, and failing to do so can result in missed notices and compliance issues.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Even if email is used for some communications, address currency is still a maintained requirement.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requirement to maintain current information applies to all licensees, not brokers alone.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There is no county-specific carve-out to this requirement.</w:t>
      </w:r>
    </w:p>
    <w:p>
      <w:pPr>
        <w:spacing w:after="60" w:before="260"/>
      </w:pPr>
      <w:r>
        <w:rPr>
          <w:rFonts w:ascii="Arial" w:cs="Arial" w:eastAsia="Arial" w:hAnsi="Arial"/>
          <w:b/>
          <w:bCs/>
          <w:color w:val="C13A18"/>
          <w:sz w:val="18"/>
          <w:szCs w:val="18"/>
        </w:rPr>
        <w:t xml:space="preserve">QUESTION GA-019</w:t>
      </w:r>
    </w:p>
    <w:p>
      <w:pPr>
        <w:spacing w:after="140"/>
      </w:pPr>
      <w:r>
        <w:rPr>
          <w:rFonts w:ascii="Arial" w:cs="Arial" w:eastAsia="Arial" w:hAnsi="Arial"/>
          <w:i/>
          <w:iCs/>
          <w:color w:val="16243E"/>
          <w:sz w:val="22"/>
          <w:szCs w:val="22"/>
        </w:rPr>
        <w:t xml:space="preserve">A licensee is disciplined by GREC and given a formal reprimand. The licensee wants to know if this becomes part of the public record.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Only license revocations are public; reprimands are private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GREC disciplinary actions are always kept confidential permanently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Disciplinary records are sealed after one year automatically</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Final GREC disciplinary actions are generally public record</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Lesser sanctions like reprimands are still part of the record, not just revocations.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Disciplinary actions are not kept permanently confidential in Georgia; they are part of the public licensing record.</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automatic one-year sealing of disciplinary records.</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Final disciplinary actions taken by GREC, including reprimands, are generally accessible as part of the licensee's public record.</w:t>
      </w:r>
    </w:p>
    <w:p>
      <w:pPr>
        <w:spacing w:after="60" w:before="260"/>
      </w:pPr>
      <w:r>
        <w:rPr>
          <w:rFonts w:ascii="Arial" w:cs="Arial" w:eastAsia="Arial" w:hAnsi="Arial"/>
          <w:b/>
          <w:bCs/>
          <w:color w:val="C13A18"/>
          <w:sz w:val="18"/>
          <w:szCs w:val="18"/>
        </w:rPr>
        <w:t xml:space="preserve">QUESTION GA-020</w:t>
      </w:r>
    </w:p>
    <w:p>
      <w:pPr>
        <w:spacing w:after="140"/>
      </w:pPr>
      <w:r>
        <w:rPr>
          <w:rFonts w:ascii="Arial" w:cs="Arial" w:eastAsia="Arial" w:hAnsi="Arial"/>
          <w:i/>
          <w:iCs/>
          <w:color w:val="16243E"/>
          <w:sz w:val="22"/>
          <w:szCs w:val="22"/>
        </w:rPr>
        <w:t xml:space="preserve">A salesperson wants to form their own LLC to receive commission checks directly from closings, bypassing the broker.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permitted if the client consents in writing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permitted only for luxury property transactions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Commissions must be paid to the broker, who then pays the affiliated licensee; a licensee generally cannot receive commissions directly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permitted as long as the LLC is registered with the Secretary of State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Client consent does not change the statutory requirement about how commissions must be paid.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no exception carved out for high-value transactions.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Georgia license law requires that compensation for licensed activity be paid to the broker, who then compensates the affiliated licensee, not paid directly to the licensee or their entity.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Registering an LLC with the state does not override the requirement that commissions flow through the broker.</w:t>
      </w:r>
    </w:p>
    <w:p>
      <w:pPr>
        <w:spacing w:after="60" w:before="260"/>
      </w:pPr>
      <w:r>
        <w:rPr>
          <w:rFonts w:ascii="Arial" w:cs="Arial" w:eastAsia="Arial" w:hAnsi="Arial"/>
          <w:b/>
          <w:bCs/>
          <w:color w:val="C13A18"/>
          <w:sz w:val="18"/>
          <w:szCs w:val="18"/>
        </w:rPr>
        <w:t xml:space="preserve">QUESTION GA-021</w:t>
      </w:r>
    </w:p>
    <w:p>
      <w:pPr>
        <w:spacing w:after="140"/>
      </w:pPr>
      <w:r>
        <w:rPr>
          <w:rFonts w:ascii="Arial" w:cs="Arial" w:eastAsia="Arial" w:hAnsi="Arial"/>
          <w:i/>
          <w:iCs/>
          <w:color w:val="16243E"/>
          <w:sz w:val="22"/>
          <w:szCs w:val="22"/>
        </w:rPr>
        <w:t xml:space="preserve">A broker in charge fails to provide legally required supervision of affiliated licensees, and one of them commits a serious violation.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Only the individual licensee who committed the violation can face discipline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GREC cannot discipline a broker for another licensee's actions under any circumstance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Supervision failures are only relevant in wrongful termination lawsuits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broker in charge can also face discipline for failing to adequately supervise licensees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Discipline is not limited to the individual violator when supervisory duties were also neglected.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GREC can and does discipline supervising brokers for documented supervisory failures.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is a licensing supervision issue, not solely an employment law matter.</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Georgia holds a broker in charge responsible for reasonable supervision, and failing that duty can result in separate discipline against the broker.</w:t>
      </w:r>
    </w:p>
    <w:p>
      <w:pPr>
        <w:spacing w:after="60" w:before="260"/>
      </w:pPr>
      <w:r>
        <w:rPr>
          <w:rFonts w:ascii="Arial" w:cs="Arial" w:eastAsia="Arial" w:hAnsi="Arial"/>
          <w:b/>
          <w:bCs/>
          <w:color w:val="C13A18"/>
          <w:sz w:val="18"/>
          <w:szCs w:val="18"/>
        </w:rPr>
        <w:t xml:space="preserve">QUESTION GA-022</w:t>
      </w:r>
    </w:p>
    <w:p>
      <w:pPr>
        <w:spacing w:after="140"/>
      </w:pPr>
      <w:r>
        <w:rPr>
          <w:rFonts w:ascii="Arial" w:cs="Arial" w:eastAsia="Arial" w:hAnsi="Arial"/>
          <w:i/>
          <w:iCs/>
          <w:color w:val="16243E"/>
          <w:sz w:val="22"/>
          <w:szCs w:val="22"/>
        </w:rPr>
        <w:t xml:space="preserve">A prospective licensee has a prior conviction from another state and is unsure whether it must be disclosed on their Georgia license application.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Only Georgia convictions must be disclosed on the application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Convictions more than one year old never need to be disclosed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Disclosure is optional and only affects background check speed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Applicants must disclose qualifying criminal history regardless of the state where it occurred</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disclosure requirement is not limited by the state where the conviction occurred.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no blanket one-year exemption; the nature of the offense and other factors matter, not simply age.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Disclosure is a mandatory application requirement, not an optional item affecting only processing speed.</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Georgia's application requires disclosure of qualifying criminal history from any jurisdiction, which GREC then evaluates.</w:t>
      </w:r>
    </w:p>
    <w:p>
      <w:pPr>
        <w:spacing w:after="60" w:before="260"/>
      </w:pPr>
      <w:r>
        <w:rPr>
          <w:rFonts w:ascii="Arial" w:cs="Arial" w:eastAsia="Arial" w:hAnsi="Arial"/>
          <w:b/>
          <w:bCs/>
          <w:color w:val="C13A18"/>
          <w:sz w:val="18"/>
          <w:szCs w:val="18"/>
        </w:rPr>
        <w:t xml:space="preserve">QUESTION GA-023</w:t>
      </w:r>
    </w:p>
    <w:p>
      <w:pPr>
        <w:spacing w:after="140"/>
      </w:pPr>
      <w:r>
        <w:rPr>
          <w:rFonts w:ascii="Arial" w:cs="Arial" w:eastAsia="Arial" w:hAnsi="Arial"/>
          <w:i/>
          <w:iCs/>
          <w:color w:val="16243E"/>
          <w:sz w:val="22"/>
          <w:szCs w:val="22"/>
        </w:rPr>
        <w:t xml:space="preserve">A broker keeps commingled personal and client funds in one account but tracks the amounts carefully in a spreadsheet.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Commingling personal and trust funds is prohibited regardless of how well it is tracked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acceptable only for amounts under $2,000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acceptable if disclosed to the client in the listing agreement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Careful tracking makes commingling acceptable under Georgia law</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Georgia law requires trust funds to be kept separate from the broker's personal or operating funds; tracking alone does not satisfy this rule.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no minimum dollar threshold that permits commingling.</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Client disclosure does not override the trust account separation requirement.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Good recordkeeping does not cure the underlying prohibition on commingling funds.</w:t>
      </w:r>
    </w:p>
    <w:p>
      <w:pPr>
        <w:spacing w:after="60" w:before="260"/>
      </w:pPr>
      <w:r>
        <w:rPr>
          <w:rFonts w:ascii="Arial" w:cs="Arial" w:eastAsia="Arial" w:hAnsi="Arial"/>
          <w:b/>
          <w:bCs/>
          <w:color w:val="C13A18"/>
          <w:sz w:val="18"/>
          <w:szCs w:val="18"/>
        </w:rPr>
        <w:t xml:space="preserve">QUESTION GA-024</w:t>
      </w:r>
    </w:p>
    <w:p>
      <w:pPr>
        <w:spacing w:after="140"/>
      </w:pPr>
      <w:r>
        <w:rPr>
          <w:rFonts w:ascii="Arial" w:cs="Arial" w:eastAsia="Arial" w:hAnsi="Arial"/>
          <w:i/>
          <w:iCs/>
          <w:color w:val="16243E"/>
          <w:sz w:val="22"/>
          <w:szCs w:val="22"/>
        </w:rPr>
        <w:t xml:space="preserve">A licensee wants to know how long broker records related to a closed transaction must generally be retained.</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Georgia generally requires transaction records to be retained for a specified minimum period, commonly cited as three years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Records must be kept permanently with no disposal ever allowed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Records may be discarded immediately after closing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Retention requirements only apply to listing agreements, not closing documents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Georgia license law requires brokers to retain transaction records for a set minimum period, generally cited as three years, to allow for review if needed.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Permanent retention with no disposal is not the standard; a defined minimum period applies.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Immediate disposal after closing would violate the required retention period.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Retention requirements extend to closing and other transaction documents, not only listing agreements.</w:t>
      </w:r>
    </w:p>
    <w:p>
      <w:pPr>
        <w:spacing w:after="60" w:before="260"/>
      </w:pPr>
      <w:r>
        <w:rPr>
          <w:rFonts w:ascii="Arial" w:cs="Arial" w:eastAsia="Arial" w:hAnsi="Arial"/>
          <w:b/>
          <w:bCs/>
          <w:color w:val="C13A18"/>
          <w:sz w:val="18"/>
          <w:szCs w:val="18"/>
        </w:rPr>
        <w:t xml:space="preserve">QUESTION GA-025</w:t>
      </w:r>
    </w:p>
    <w:p>
      <w:pPr>
        <w:spacing w:after="140"/>
      </w:pPr>
      <w:r>
        <w:rPr>
          <w:rFonts w:ascii="Arial" w:cs="Arial" w:eastAsia="Arial" w:hAnsi="Arial"/>
          <w:i/>
          <w:iCs/>
          <w:color w:val="16243E"/>
          <w:sz w:val="22"/>
          <w:szCs w:val="22"/>
        </w:rPr>
        <w:t xml:space="preserve">A licensee wants to know which entity has ultimate authority to issue, suspend, and revoke real estate licenses in Georgia.</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local Multiple Listing Service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county clerk of superior court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Georgia Association of REALTORS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Georgia Real Estate Commission (GREC)</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MLS is a private listing service with no licensing authority.</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county clerk's office handles recording of documents, not licensing decisions.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GAR is a trade association and does not have licensing authority.</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GREC is the state agency with statutory authority to issue, discipline, suspend, and revoke real estate licenses in Georgia.</w:t>
      </w:r>
    </w:p>
    <w:p>
      <w:pPr>
        <w:spacing w:after="60" w:before="260"/>
      </w:pPr>
      <w:r>
        <w:rPr>
          <w:rFonts w:ascii="Arial" w:cs="Arial" w:eastAsia="Arial" w:hAnsi="Arial"/>
          <w:b/>
          <w:bCs/>
          <w:color w:val="C13A18"/>
          <w:sz w:val="18"/>
          <w:szCs w:val="18"/>
        </w:rPr>
        <w:t xml:space="preserve">QUESTION GA-026</w:t>
      </w:r>
    </w:p>
    <w:p>
      <w:pPr>
        <w:spacing w:after="140"/>
      </w:pPr>
      <w:r>
        <w:rPr>
          <w:rFonts w:ascii="Arial" w:cs="Arial" w:eastAsia="Arial" w:hAnsi="Arial"/>
          <w:i/>
          <w:iCs/>
          <w:color w:val="16243E"/>
          <w:sz w:val="22"/>
          <w:szCs w:val="22"/>
        </w:rPr>
        <w:t xml:space="preserve">A salesperson wants to open their own independent brokerage immediately after passing the salesperson exam.</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permitted if the salesperson hires a manager</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This is not permitted; operating an independent brokerage requires broker-level licensure and experience requirements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permitted only in counties with fewer than 50,000 residents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permitted since passing any real estate exam qualifies a person to open a brokerage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Hiring a manager does not substitute for the salesperson personally holding a broker license.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Opening and operating an independent brokerage requires obtaining a broker license, which has its own experience and education requirements beyond the salesperson license.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population-based exception in Georgia license law.</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Passing the salesperson exam does not itself confer broker-level authority.</w:t>
      </w:r>
    </w:p>
    <w:p>
      <w:pPr>
        <w:spacing w:after="60" w:before="260"/>
      </w:pPr>
      <w:r>
        <w:rPr>
          <w:rFonts w:ascii="Arial" w:cs="Arial" w:eastAsia="Arial" w:hAnsi="Arial"/>
          <w:b/>
          <w:bCs/>
          <w:color w:val="C13A18"/>
          <w:sz w:val="18"/>
          <w:szCs w:val="18"/>
        </w:rPr>
        <w:t xml:space="preserve">QUESTION GA-027</w:t>
      </w:r>
    </w:p>
    <w:p>
      <w:pPr>
        <w:spacing w:after="140"/>
      </w:pPr>
      <w:r>
        <w:rPr>
          <w:rFonts w:ascii="Arial" w:cs="Arial" w:eastAsia="Arial" w:hAnsi="Arial"/>
          <w:i/>
          <w:iCs/>
          <w:color w:val="16243E"/>
          <w:sz w:val="22"/>
          <w:szCs w:val="22"/>
        </w:rPr>
        <w:t xml:space="preserve">A licensee is asked by a client to backdate a document to make it appear signed before a deadline that was actually missed.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acceptable only if both parties to the contract agree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acceptable as a courtesy to help the client avoid losing the deal</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Backdating a document is dishonest dealing and can subject the licensee to discipline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acceptable if the licensee is not a party to the contract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Mutual agreement between the parties does not make falsifying execution dates lawful.</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Helping a client avoid a consequence does not make falsifying a document acceptable.</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Backdating documents is a form of misrepresentation and dishonest dealing that GREC can discipline, regardless of intent to help.</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licensee's role as a non-party does not excuse participating in creating a false document.</w:t>
      </w:r>
    </w:p>
    <w:p>
      <w:pPr>
        <w:spacing w:after="60" w:before="260"/>
      </w:pPr>
      <w:r>
        <w:rPr>
          <w:rFonts w:ascii="Arial" w:cs="Arial" w:eastAsia="Arial" w:hAnsi="Arial"/>
          <w:b/>
          <w:bCs/>
          <w:color w:val="C13A18"/>
          <w:sz w:val="18"/>
          <w:szCs w:val="18"/>
        </w:rPr>
        <w:t xml:space="preserve">QUESTION GA-028</w:t>
      </w:r>
    </w:p>
    <w:p>
      <w:pPr>
        <w:spacing w:after="140"/>
      </w:pPr>
      <w:r>
        <w:rPr>
          <w:rFonts w:ascii="Arial" w:cs="Arial" w:eastAsia="Arial" w:hAnsi="Arial"/>
          <w:i/>
          <w:iCs/>
          <w:color w:val="16243E"/>
          <w:sz w:val="22"/>
          <w:szCs w:val="22"/>
        </w:rPr>
        <w:t xml:space="preserve">A licensee wants to know whether a real estate license is required to manage rental properties and collect rent on behalf of owners for a fee.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Property management performed for others for compensation generally requires a real estate license in Georgia</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license is only required if more than ten units are managed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No license is ever required for property management activities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license is only required for commercial rental property, not residential</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Managing property and collecting rent for others for a fee is a licensed activity under Georgia law, with certain narrow exemptions like owner-managers.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no unit-count threshold that triggers or removes the license requirement.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blanket 'no license required' rule is incorrect for compensated property management on behalf of others.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requirement applies to both residential and commercial property management performed for compensation.</w:t>
      </w:r>
    </w:p>
    <w:p>
      <w:pPr>
        <w:spacing w:after="60" w:before="260"/>
      </w:pPr>
      <w:r>
        <w:rPr>
          <w:rFonts w:ascii="Arial" w:cs="Arial" w:eastAsia="Arial" w:hAnsi="Arial"/>
          <w:b/>
          <w:bCs/>
          <w:color w:val="C13A18"/>
          <w:sz w:val="18"/>
          <w:szCs w:val="18"/>
        </w:rPr>
        <w:t xml:space="preserve">QUESTION GA-029</w:t>
      </w:r>
    </w:p>
    <w:p>
      <w:pPr>
        <w:spacing w:after="140"/>
      </w:pPr>
      <w:r>
        <w:rPr>
          <w:rFonts w:ascii="Arial" w:cs="Arial" w:eastAsia="Arial" w:hAnsi="Arial"/>
          <w:i/>
          <w:iCs/>
          <w:color w:val="16243E"/>
          <w:sz w:val="22"/>
          <w:szCs w:val="22"/>
        </w:rPr>
        <w:t xml:space="preserve">A broker wants to advertise a listing with a price different from what is in the signed listing agreement, hoping to generate more calls.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is prohibited, since advertising must accurately reflect material listing terms such as price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acceptable as a marketing strategy as long as it's corrected before closing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acceptable for auctions only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acceptable if the seller is unaware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Advertising must be truthful and consistent with the actual listing terms; misstating price is a form of misleading advertising.</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Correcting it later does not make publishing an inaccurate price acceptable in the meantime.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blanket auction exception to truthful advertising requirements.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Seller awareness or lack thereof does not change the requirement for truthful advertising to the public.</w:t>
      </w:r>
    </w:p>
    <w:p>
      <w:pPr>
        <w:spacing w:after="60" w:before="260"/>
      </w:pPr>
      <w:r>
        <w:rPr>
          <w:rFonts w:ascii="Arial" w:cs="Arial" w:eastAsia="Arial" w:hAnsi="Arial"/>
          <w:b/>
          <w:bCs/>
          <w:color w:val="C13A18"/>
          <w:sz w:val="18"/>
          <w:szCs w:val="18"/>
        </w:rPr>
        <w:t xml:space="preserve">QUESTION GA-030</w:t>
      </w:r>
    </w:p>
    <w:p>
      <w:pPr>
        <w:spacing w:after="140"/>
      </w:pPr>
      <w:r>
        <w:rPr>
          <w:rFonts w:ascii="Arial" w:cs="Arial" w:eastAsia="Arial" w:hAnsi="Arial"/>
          <w:i/>
          <w:iCs/>
          <w:color w:val="16243E"/>
          <w:sz w:val="22"/>
          <w:szCs w:val="22"/>
        </w:rPr>
        <w:t xml:space="preserve">A licensee's broker asks them to sign a document stating they completed a required GREC continuing education course that they did not actually complete.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acceptable if no one else finds out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The licensee should refuse, since signing a false statement to GREC is a violation regardless of who requested it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licensee should comply because the broker directed it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acceptable if the licensee completes the course later that year</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Whether the falsehood is discovered has no bearing on whether it was a violation.</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Submitting a false statement to GREC is a violation independent of instruction from a supervisor, and licensees remain personally accountable.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broker's instruction does not authorize a licensee to submit false information to the regulator.</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Completing the course afterward does not retroactively make the false statement true when it was signed.</w:t>
      </w:r>
    </w:p>
    <w:p>
      <w:r>
        <w:br w:type="page"/>
      </w:r>
    </w:p>
    <w:p>
      <w:pPr>
        <w:pStyle w:val="Heading1"/>
        <w:spacing w:after="60" w:before="200"/>
      </w:pPr>
      <w:r>
        <w:rPr>
          <w:rFonts w:ascii="Arial" w:cs="Arial" w:eastAsia="Arial" w:hAnsi="Arial"/>
          <w:color w:val="16243E"/>
        </w:rPr>
        <w:t xml:space="preserve">Agency Relationships &amp; Duties</w:t>
      </w:r>
    </w:p>
    <w:p>
      <w:pPr>
        <w:pBdr>
          <w:bottom w:val="single" w:color="E5431F" w:sz="8" w:space="4"/>
        </w:pBdr>
        <w:spacing w:after="300"/>
      </w:pPr>
      <w:r>
        <w:rPr>
          <w:rFonts w:ascii="Arial" w:cs="Arial" w:eastAsia="Arial" w:hAnsi="Arial"/>
          <w:i/>
          <w:iCs/>
          <w:color w:val="677081"/>
          <w:sz w:val="18"/>
          <w:szCs w:val="18"/>
        </w:rPr>
        <w:t xml:space="preserve">30 questions in this section</w:t>
      </w:r>
    </w:p>
    <w:p>
      <w:pPr>
        <w:spacing w:after="60" w:before="260"/>
      </w:pPr>
      <w:r>
        <w:rPr>
          <w:rFonts w:ascii="Arial" w:cs="Arial" w:eastAsia="Arial" w:hAnsi="Arial"/>
          <w:b/>
          <w:bCs/>
          <w:color w:val="C13A18"/>
          <w:sz w:val="18"/>
          <w:szCs w:val="18"/>
        </w:rPr>
        <w:t xml:space="preserve">QUESTION GA-031</w:t>
      </w:r>
    </w:p>
    <w:p>
      <w:pPr>
        <w:spacing w:after="140"/>
      </w:pPr>
      <w:r>
        <w:rPr>
          <w:rFonts w:ascii="Arial" w:cs="Arial" w:eastAsia="Arial" w:hAnsi="Arial"/>
          <w:i/>
          <w:iCs/>
          <w:color w:val="16243E"/>
          <w:sz w:val="22"/>
          <w:szCs w:val="22"/>
        </w:rPr>
        <w:t xml:space="preserve">A buyer tells their agent, in confidence, that they would be willing to pay $10,000 more than their current offer if needed. The agent is representing the buyer under a signed buyer brokerage agreement.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agent must keep this confidential because of the fiduciary duty owed to the buyer client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agent may share it only if the seller's agent asks directly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agent must share it since Georgia requires full transparency between all agents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agent may share this with the seller's agent to help the deal close faster</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Confidentiality is a fiduciary duty a buyer's agent owes their client, and it survives regardless of pressure to close quickly.</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Being asked directly does not waive the client's confidentiality; the agent must still decline to disclose it.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Georgia law does not require agents to disclose confidential client information to the other side.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Sharing this would breach confidentiality owed to the buyer, even if it might speed up the deal.</w:t>
      </w:r>
    </w:p>
    <w:p>
      <w:pPr>
        <w:spacing w:after="60" w:before="260"/>
      </w:pPr>
      <w:r>
        <w:rPr>
          <w:rFonts w:ascii="Arial" w:cs="Arial" w:eastAsia="Arial" w:hAnsi="Arial"/>
          <w:b/>
          <w:bCs/>
          <w:color w:val="C13A18"/>
          <w:sz w:val="18"/>
          <w:szCs w:val="18"/>
        </w:rPr>
        <w:t xml:space="preserve">QUESTION GA-032</w:t>
      </w:r>
    </w:p>
    <w:p>
      <w:pPr>
        <w:spacing w:after="140"/>
      </w:pPr>
      <w:r>
        <w:rPr>
          <w:rFonts w:ascii="Arial" w:cs="Arial" w:eastAsia="Arial" w:hAnsi="Arial"/>
          <w:i/>
          <w:iCs/>
          <w:color w:val="16243E"/>
          <w:sz w:val="22"/>
          <w:szCs w:val="22"/>
        </w:rPr>
        <w:t xml:space="preserve">A licensee is working with a buyer as a customer, not a client, under Georgia's default brokerage relationship rules, and has no written buyer agency agreement.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licensee owes the customer honesty and fair dealing, but not the fiduciary duties owed to a client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licensee must immediately refuse to work with any customer who is not a client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licensee owes the customer no duties whatsoever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licensee still owes full fiduciary duties identical to a client relationship</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Georgia's BRRETA framework requires honesty and fair dealing toward customers, without imposing full fiduciary duties reserved for clients.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Licensees may lawfully work with customers under BRRETA without a written agency agreement.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Even customers are owed basic honesty and fair dealing; it is not a duty-free relationship.</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Fiduciary duties like loyalty and full disclosure arise from an agency relationship, which a customer relationship does not create.</w:t>
      </w:r>
    </w:p>
    <w:p>
      <w:pPr>
        <w:spacing w:after="60" w:before="260"/>
      </w:pPr>
      <w:r>
        <w:rPr>
          <w:rFonts w:ascii="Arial" w:cs="Arial" w:eastAsia="Arial" w:hAnsi="Arial"/>
          <w:b/>
          <w:bCs/>
          <w:color w:val="C13A18"/>
          <w:sz w:val="18"/>
          <w:szCs w:val="18"/>
        </w:rPr>
        <w:t xml:space="preserve">QUESTION GA-033</w:t>
      </w:r>
    </w:p>
    <w:p>
      <w:pPr>
        <w:spacing w:after="140"/>
      </w:pPr>
      <w:r>
        <w:rPr>
          <w:rFonts w:ascii="Arial" w:cs="Arial" w:eastAsia="Arial" w:hAnsi="Arial"/>
          <w:i/>
          <w:iCs/>
          <w:color w:val="16243E"/>
          <w:sz w:val="22"/>
          <w:szCs w:val="22"/>
        </w:rPr>
        <w:t xml:space="preserve">An agent representing the seller learns that the buyer's financing is shakier than the buyer let on. The seller asks the agent directly whether the buyer is well qualified.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agent must protect the buyer's privacy and refuse to answer at all</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agent must answer only if the buyer gives permission first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As the seller's agent, the licensee owes full disclosure of material facts to the seller, including known concerns about the buyer's qualification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agent should only discuss financing with the lender, never the seller</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Refusing to answer at all would breach the duty of full disclosure owed to the seller client.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duty to disclose material facts to the client is not contingent on the other party's permission.</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A seller's agent's fiduciary duty runs to the seller, so material facts affecting the transaction, like buyer qualification concerns, must be disclosed to the seller.</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Directing the seller only to the lender does not satisfy the agent's own disclosure duty to their client.</w:t>
      </w:r>
    </w:p>
    <w:p>
      <w:pPr>
        <w:spacing w:after="60" w:before="260"/>
      </w:pPr>
      <w:r>
        <w:rPr>
          <w:rFonts w:ascii="Arial" w:cs="Arial" w:eastAsia="Arial" w:hAnsi="Arial"/>
          <w:b/>
          <w:bCs/>
          <w:color w:val="C13A18"/>
          <w:sz w:val="18"/>
          <w:szCs w:val="18"/>
        </w:rPr>
        <w:t xml:space="preserve">QUESTION GA-034</w:t>
      </w:r>
    </w:p>
    <w:p>
      <w:pPr>
        <w:spacing w:after="140"/>
      </w:pPr>
      <w:r>
        <w:rPr>
          <w:rFonts w:ascii="Arial" w:cs="Arial" w:eastAsia="Arial" w:hAnsi="Arial"/>
          <w:i/>
          <w:iCs/>
          <w:color w:val="16243E"/>
          <w:sz w:val="22"/>
          <w:szCs w:val="22"/>
        </w:rPr>
        <w:t xml:space="preserve">A broker wants to represent both the buyer and seller in the same transaction under Georgia's dual agency framework.</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Dual agency is permitted in Georgia but requires informed, written consent from both parties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Dual agency is illegal in Georgia under all circumstances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Dual agency is permitted automatically without any disclosure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Dual agency is only allowed for commercial transactions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Georgia allows dual agency, but the broker must obtain informed written consent from both the buyer and seller after appropriate disclosure.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Dual agency is not categorically illegal in Georgia; it is permitted under specific conditions.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Disclosure and consent are required; dual agency cannot proceed silently.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dual agency framework applies to residential as well as commercial transactions.</w:t>
      </w:r>
    </w:p>
    <w:p>
      <w:pPr>
        <w:spacing w:after="60" w:before="260"/>
      </w:pPr>
      <w:r>
        <w:rPr>
          <w:rFonts w:ascii="Arial" w:cs="Arial" w:eastAsia="Arial" w:hAnsi="Arial"/>
          <w:b/>
          <w:bCs/>
          <w:color w:val="C13A18"/>
          <w:sz w:val="18"/>
          <w:szCs w:val="18"/>
        </w:rPr>
        <w:t xml:space="preserve">QUESTION GA-035</w:t>
      </w:r>
    </w:p>
    <w:p>
      <w:pPr>
        <w:spacing w:after="140"/>
      </w:pPr>
      <w:r>
        <w:rPr>
          <w:rFonts w:ascii="Arial" w:cs="Arial" w:eastAsia="Arial" w:hAnsi="Arial"/>
          <w:i/>
          <w:iCs/>
          <w:color w:val="16243E"/>
          <w:sz w:val="22"/>
          <w:szCs w:val="22"/>
        </w:rPr>
        <w:t xml:space="preserve">A designated agent represents the seller in an in-house transaction where another agent at the same firm represents the buyer.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Designated agency is not recognized in Georgia</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Both designated agents automatically owe duties equally to both parties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broker must always personally handle the negotiation instead of the designated agents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Each designated agent owes full fiduciary duties only to their own client, with the broker acting in a more limited capacity</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Designated agency is a recognized brokerage relationship option under Georgia law.</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Designated agency exists specifically so each agent can maintain full duties to just one side, not split duties equally.</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broker does not have to personally take over negotiations; that is the purpose of designating separate agents.</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designated agency allows each agent to represent only their own client with full duties, while the firm/broker's role is more limited.</w:t>
      </w:r>
    </w:p>
    <w:p>
      <w:pPr>
        <w:spacing w:after="60" w:before="260"/>
      </w:pPr>
      <w:r>
        <w:rPr>
          <w:rFonts w:ascii="Arial" w:cs="Arial" w:eastAsia="Arial" w:hAnsi="Arial"/>
          <w:b/>
          <w:bCs/>
          <w:color w:val="C13A18"/>
          <w:sz w:val="18"/>
          <w:szCs w:val="18"/>
        </w:rPr>
        <w:t xml:space="preserve">QUESTION GA-036</w:t>
      </w:r>
    </w:p>
    <w:p>
      <w:pPr>
        <w:spacing w:after="140"/>
      </w:pPr>
      <w:r>
        <w:rPr>
          <w:rFonts w:ascii="Arial" w:cs="Arial" w:eastAsia="Arial" w:hAnsi="Arial"/>
          <w:i/>
          <w:iCs/>
          <w:color w:val="16243E"/>
          <w:sz w:val="22"/>
          <w:szCs w:val="22"/>
        </w:rPr>
        <w:t xml:space="preserve">An agent representing a seller receives two competing offers and personally prefers the higher offer from a buyer represented by a friend.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agent may withhold the other offer's details from the seller to steer the outcome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agent may accept the preferred offer directly on the seller's behalf</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agent should only present the offer that came in first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agent must present all offers to the seller and let the seller decide, regardless of the agent's personal preference</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Withholding an offer to steer the outcome would breach the duty of full disclosure and loyalty owed to the seller.</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An agent generally cannot accept an offer on the seller's behalf without express authority; the seller decides.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Order of receipt does not excuse withholding a later, potentially superior offer from the seller.</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The seller's agent's duty of loyalty and full disclosure requires presenting all offers received so the seller, not the agent, makes the decision.</w:t>
      </w:r>
    </w:p>
    <w:p>
      <w:pPr>
        <w:spacing w:after="60" w:before="260"/>
      </w:pPr>
      <w:r>
        <w:rPr>
          <w:rFonts w:ascii="Arial" w:cs="Arial" w:eastAsia="Arial" w:hAnsi="Arial"/>
          <w:b/>
          <w:bCs/>
          <w:color w:val="C13A18"/>
          <w:sz w:val="18"/>
          <w:szCs w:val="18"/>
        </w:rPr>
        <w:t xml:space="preserve">QUESTION GA-037</w:t>
      </w:r>
    </w:p>
    <w:p>
      <w:pPr>
        <w:spacing w:after="140"/>
      </w:pPr>
      <w:r>
        <w:rPr>
          <w:rFonts w:ascii="Arial" w:cs="Arial" w:eastAsia="Arial" w:hAnsi="Arial"/>
          <w:i/>
          <w:iCs/>
          <w:color w:val="16243E"/>
          <w:sz w:val="22"/>
          <w:szCs w:val="22"/>
        </w:rPr>
        <w:t xml:space="preserve">A buyer's agent discovers that the home the buyer wants to purchase was previously the site of a fatality unrelated to the property's physical condition.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agent can never discuss this topic even if directly asked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Georgia generally does not require disclosure of facts like a death on the property that do not affect physical condition, though direct buyer questions must be answered honestly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agent must disclose it only if the buyer is from out of state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Georgia law requires the agent to affirmatively disclose this fact to the buyer in all cases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agent is not barred from discussing it; they simply are not required to volunteer it unprompted, and must answer honestly if asked.</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Georgia's stigmatized property provisions generally relieve licensees of an affirmative duty to disclose facts like a death on the property, but the agent still cannot lie if asked directly.</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distinction in this rule based on the buyer's state of residence.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Georgia does not impose a blanket affirmative disclosure duty for this type of fact.</w:t>
      </w:r>
    </w:p>
    <w:p>
      <w:pPr>
        <w:spacing w:after="60" w:before="260"/>
      </w:pPr>
      <w:r>
        <w:rPr>
          <w:rFonts w:ascii="Arial" w:cs="Arial" w:eastAsia="Arial" w:hAnsi="Arial"/>
          <w:b/>
          <w:bCs/>
          <w:color w:val="C13A18"/>
          <w:sz w:val="18"/>
          <w:szCs w:val="18"/>
        </w:rPr>
        <w:t xml:space="preserve">QUESTION GA-038</w:t>
      </w:r>
    </w:p>
    <w:p>
      <w:pPr>
        <w:spacing w:after="140"/>
      </w:pPr>
      <w:r>
        <w:rPr>
          <w:rFonts w:ascii="Arial" w:cs="Arial" w:eastAsia="Arial" w:hAnsi="Arial"/>
          <w:i/>
          <w:iCs/>
          <w:color w:val="16243E"/>
          <w:sz w:val="22"/>
          <w:szCs w:val="22"/>
        </w:rPr>
        <w:t xml:space="preserve">A seller's agent is asked by the seller to leave a known structural defect off the seller's disclosure statement.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agent should comply because the seller's instructions control all disclosure decisions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The agent should refuse and advise the seller that known material defects generally must be disclosed, since concealment can create legal liability for both</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acceptable if the buyer waives inspection rights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acceptable if the property is sold 'as-is'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client's instruction to conceal a known material defect does not override disclosure obligations and legal exposure.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The agent should counsel the seller that concealing known material defects exposes both seller and agent to liability, and should refuse to participate in the concealment.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Waiving inspection does not eliminate the seller's disclosure obligations for known material defects.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An 'as-is' sale affects repair obligations, not the duty to disclose known material defects that are already known.</w:t>
      </w:r>
    </w:p>
    <w:p>
      <w:pPr>
        <w:spacing w:after="60" w:before="260"/>
      </w:pPr>
      <w:r>
        <w:rPr>
          <w:rFonts w:ascii="Arial" w:cs="Arial" w:eastAsia="Arial" w:hAnsi="Arial"/>
          <w:b/>
          <w:bCs/>
          <w:color w:val="C13A18"/>
          <w:sz w:val="18"/>
          <w:szCs w:val="18"/>
        </w:rPr>
        <w:t xml:space="preserve">QUESTION GA-039</w:t>
      </w:r>
    </w:p>
    <w:p>
      <w:pPr>
        <w:spacing w:after="140"/>
      </w:pPr>
      <w:r>
        <w:rPr>
          <w:rFonts w:ascii="Arial" w:cs="Arial" w:eastAsia="Arial" w:hAnsi="Arial"/>
          <w:i/>
          <w:iCs/>
          <w:color w:val="16243E"/>
          <w:sz w:val="22"/>
          <w:szCs w:val="22"/>
        </w:rPr>
        <w:t xml:space="preserve">A buyer's agent wants to show a for-sale-by-owner property to their buyer client but is unsure whether they can still represent the buyer's interests.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agent must charge the seller directly for showing the property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agent cannot represent the buyer once the property is not listed with an agent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agent must switch to representing the seller instead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agent can continue representing the buyer as their agent even on an unlisted, for-sale-by-owner property</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Compensation arrangements are negotiated separately and are not automatically charged to the seller.</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listing status of the property does not terminate the buyer's agency relationship with their own agent.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requirement to switch representation simply because a property is unlisted.</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A buyer's agent can represent the buyer's interests on any property the buyer wants to see, including FSBO listings, and typically negotiates compensation separately with the seller or buyer.</w:t>
      </w:r>
    </w:p>
    <w:p>
      <w:pPr>
        <w:spacing w:after="60" w:before="260"/>
      </w:pPr>
      <w:r>
        <w:rPr>
          <w:rFonts w:ascii="Arial" w:cs="Arial" w:eastAsia="Arial" w:hAnsi="Arial"/>
          <w:b/>
          <w:bCs/>
          <w:color w:val="C13A18"/>
          <w:sz w:val="18"/>
          <w:szCs w:val="18"/>
        </w:rPr>
        <w:t xml:space="preserve">QUESTION GA-040</w:t>
      </w:r>
    </w:p>
    <w:p>
      <w:pPr>
        <w:spacing w:after="140"/>
      </w:pPr>
      <w:r>
        <w:rPr>
          <w:rFonts w:ascii="Arial" w:cs="Arial" w:eastAsia="Arial" w:hAnsi="Arial"/>
          <w:i/>
          <w:iCs/>
          <w:color w:val="16243E"/>
          <w:sz w:val="22"/>
          <w:szCs w:val="22"/>
        </w:rPr>
        <w:t xml:space="preserve">An agent representing a buyer under a written agreement learns the buyer intends to use the home for an illegal purpose.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Confidentiality does not extend to protecting a client's intent to commit an illegal act, and the agent should not assist in furthering it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agent's duty of confidentiality requires helping the buyer regardless of legality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agent must report this to the seller immediately regardless of accuracy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agent has no discretion and must terminate the agreement instantly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An agent's duty of confidentiality has limits and does not obligate assisting a client in unlawful conduct; the agent should not facilitate the illegal purpose.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Fiduciary confidentiality does not require an agent to assist in or shield an illegal act.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Immediately reporting unverified information to the seller isn't the required first step, and the agent should exercise judgment about the situation.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While terminating representation may be appropriate, it is not always instantaneous or the only permissible response; the key point is the agent should not further the illegal purpose.</w:t>
      </w:r>
    </w:p>
    <w:p>
      <w:pPr>
        <w:spacing w:after="60" w:before="260"/>
      </w:pPr>
      <w:r>
        <w:rPr>
          <w:rFonts w:ascii="Arial" w:cs="Arial" w:eastAsia="Arial" w:hAnsi="Arial"/>
          <w:b/>
          <w:bCs/>
          <w:color w:val="C13A18"/>
          <w:sz w:val="18"/>
          <w:szCs w:val="18"/>
        </w:rPr>
        <w:t xml:space="preserve">QUESTION GA-041</w:t>
      </w:r>
    </w:p>
    <w:p>
      <w:pPr>
        <w:spacing w:after="140"/>
      </w:pPr>
      <w:r>
        <w:rPr>
          <w:rFonts w:ascii="Arial" w:cs="Arial" w:eastAsia="Arial" w:hAnsi="Arial"/>
          <w:i/>
          <w:iCs/>
          <w:color w:val="16243E"/>
          <w:sz w:val="22"/>
          <w:szCs w:val="22"/>
        </w:rPr>
        <w:t xml:space="preserve">A licensee wants to know what 'obedience' means as a fiduciary duty owed to a client under agency law.</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Obedience only applies to seller clients, not buyer clients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agent must follow every instruction from the client, even if unlawful</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The agent must follow the client's lawful instructions related to the transaction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Obedience means the agent must always agree with the client's opinions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duty of obedience applies to both buyer and seller clients equally under agency law.</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duty of obedience does not extend to unlawful instructions; an agent must decline those.</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Obedience requires following the client's lawful instructions within the scope of the agency relationship.</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Obedience concerns following lawful instructions, not agreeing with personal opinions.</w:t>
      </w:r>
    </w:p>
    <w:p>
      <w:pPr>
        <w:spacing w:after="60" w:before="260"/>
      </w:pPr>
      <w:r>
        <w:rPr>
          <w:rFonts w:ascii="Arial" w:cs="Arial" w:eastAsia="Arial" w:hAnsi="Arial"/>
          <w:b/>
          <w:bCs/>
          <w:color w:val="C13A18"/>
          <w:sz w:val="18"/>
          <w:szCs w:val="18"/>
        </w:rPr>
        <w:t xml:space="preserve">QUESTION GA-042</w:t>
      </w:r>
    </w:p>
    <w:p>
      <w:pPr>
        <w:spacing w:after="140"/>
      </w:pPr>
      <w:r>
        <w:rPr>
          <w:rFonts w:ascii="Arial" w:cs="Arial" w:eastAsia="Arial" w:hAnsi="Arial"/>
          <w:i/>
          <w:iCs/>
          <w:color w:val="16243E"/>
          <w:sz w:val="22"/>
          <w:szCs w:val="22"/>
        </w:rPr>
        <w:t xml:space="preserve">A seller's agent personally believes a listed home is overpriced but the seller insists on keeping the higher price.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agent can advise the seller on pricing but must ultimately respect the seller's lawful pricing decision under the duty of obedience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agent must lower the price without telling the seller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agent must find a buyer willing to pay only what the agent believes it's worth</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agent must refuse to list the property at all</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The agent can provide professional pricing guidance, but ultimately must follow the seller's lawful pricing instructions as part of the duty of obedience.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Changing the price without the seller's knowledge or consent would violate the agent's duties.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agent's role is to market at the seller's chosen price, not to unilaterally substitute their own valuation.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Disagreeing on price is not itself a reason the agent must refuse the listing altogether.</w:t>
      </w:r>
    </w:p>
    <w:p>
      <w:pPr>
        <w:spacing w:after="60" w:before="260"/>
      </w:pPr>
      <w:r>
        <w:rPr>
          <w:rFonts w:ascii="Arial" w:cs="Arial" w:eastAsia="Arial" w:hAnsi="Arial"/>
          <w:b/>
          <w:bCs/>
          <w:color w:val="C13A18"/>
          <w:sz w:val="18"/>
          <w:szCs w:val="18"/>
        </w:rPr>
        <w:t xml:space="preserve">QUESTION GA-043</w:t>
      </w:r>
    </w:p>
    <w:p>
      <w:pPr>
        <w:spacing w:after="140"/>
      </w:pPr>
      <w:r>
        <w:rPr>
          <w:rFonts w:ascii="Arial" w:cs="Arial" w:eastAsia="Arial" w:hAnsi="Arial"/>
          <w:i/>
          <w:iCs/>
          <w:color w:val="16243E"/>
          <w:sz w:val="22"/>
          <w:szCs w:val="22"/>
        </w:rPr>
        <w:t xml:space="preserve">A transaction broker relationship, sometimes just called a customer-level relationship under BRRETA, is being explained to a first-time seller who assumed all agents are fiduciaries.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Georgia requires every real estate licensee to act as a fiduciary in every transaction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Fiduciary duties apply automatically the moment a licensee speaks with any member of the public</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There is no such thing as a non-fiduciary relationship in Georgia real estate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Georgia's BRRETA framework allows for relationships, like the customer relationship, that involve honesty and fair dealing without full fiduciary duties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Georgia does not mandate fiduciary status in every interaction; non-agency relationships are recognized.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Simply speaking with a member of the public does not create a fiduciary relationship.</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Georgia law explicitly recognizes non-fiduciary, customer-level relationships under BRRETA.</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BRRETA explicitly provides for relationships short of full agency, requiring honesty and fair dealing but not full fiduciary duties.</w:t>
      </w:r>
    </w:p>
    <w:p>
      <w:pPr>
        <w:spacing w:after="60" w:before="260"/>
      </w:pPr>
      <w:r>
        <w:rPr>
          <w:rFonts w:ascii="Arial" w:cs="Arial" w:eastAsia="Arial" w:hAnsi="Arial"/>
          <w:b/>
          <w:bCs/>
          <w:color w:val="C13A18"/>
          <w:sz w:val="18"/>
          <w:szCs w:val="18"/>
        </w:rPr>
        <w:t xml:space="preserve">QUESTION GA-044</w:t>
      </w:r>
    </w:p>
    <w:p>
      <w:pPr>
        <w:spacing w:after="140"/>
      </w:pPr>
      <w:r>
        <w:rPr>
          <w:rFonts w:ascii="Arial" w:cs="Arial" w:eastAsia="Arial" w:hAnsi="Arial"/>
          <w:i/>
          <w:iCs/>
          <w:color w:val="16243E"/>
          <w:sz w:val="22"/>
          <w:szCs w:val="22"/>
        </w:rPr>
        <w:t xml:space="preserve">A buyer's agent is asked by the buyer to help estimate a fair offer price, including sharing comparable sales data and market analysis.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exceeds the agent's role and should be refused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only appropriate for listing agents, not buyer's agents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Providing comparable sales data and pricing guidance to a client is a normal and expected part of the agent's duty of reasonable care and skill</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can only be done by an appraiser, never an agent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Helping a client evaluate pricing is well within an agent's normal advisory role, not outside it.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Buyer's agents commonly provide this same pricing support to help buyers formulate competitive offers.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Providing market data and pricing guidance reflects the agent's duty to exercise reasonable skill and care on the client's behalf.</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Agents routinely provide comparative market analyses; a formal appraisal is a separate, licensed valuation service but not the only source of pricing guidance.</w:t>
      </w:r>
    </w:p>
    <w:p>
      <w:pPr>
        <w:spacing w:after="60" w:before="260"/>
      </w:pPr>
      <w:r>
        <w:rPr>
          <w:rFonts w:ascii="Arial" w:cs="Arial" w:eastAsia="Arial" w:hAnsi="Arial"/>
          <w:b/>
          <w:bCs/>
          <w:color w:val="C13A18"/>
          <w:sz w:val="18"/>
          <w:szCs w:val="18"/>
        </w:rPr>
        <w:t xml:space="preserve">QUESTION GA-045</w:t>
      </w:r>
    </w:p>
    <w:p>
      <w:pPr>
        <w:spacing w:after="140"/>
      </w:pPr>
      <w:r>
        <w:rPr>
          <w:rFonts w:ascii="Arial" w:cs="Arial" w:eastAsia="Arial" w:hAnsi="Arial"/>
          <w:i/>
          <w:iCs/>
          <w:color w:val="16243E"/>
          <w:sz w:val="22"/>
          <w:szCs w:val="22"/>
        </w:rPr>
        <w:t xml:space="preserve">A licensee represents a seller and also happens to be the seller's cousin. The buyer is unaware of this family relationship.</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only a concern if the buyer specifically asks about family ties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Because it could reasonably affect the buyer's decision-making or perception of fairness, this kind of relationship is generally best disclosed as part of honest dealing</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Family relationships never need to be disclosed in a real estate transaction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relationship automatically voids the listing agreement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Waiting for the buyer to ask is not the standard; proactive disclosure of potentially material relationships is the better practice.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Sound practice and the general duty of honesty favor disclosing relationships that a reasonable party might see as relevant to the transaction's fairness.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Blanket non-disclosure is not the safest or most defensible approach when a relationship could be seen as material.</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family relationship alone does not automatically void a properly executed listing agreement.</w:t>
      </w:r>
    </w:p>
    <w:p>
      <w:pPr>
        <w:spacing w:after="60" w:before="260"/>
      </w:pPr>
      <w:r>
        <w:rPr>
          <w:rFonts w:ascii="Arial" w:cs="Arial" w:eastAsia="Arial" w:hAnsi="Arial"/>
          <w:b/>
          <w:bCs/>
          <w:color w:val="C13A18"/>
          <w:sz w:val="18"/>
          <w:szCs w:val="18"/>
        </w:rPr>
        <w:t xml:space="preserve">QUESTION GA-046</w:t>
      </w:r>
    </w:p>
    <w:p>
      <w:pPr>
        <w:spacing w:after="140"/>
      </w:pPr>
      <w:r>
        <w:rPr>
          <w:rFonts w:ascii="Arial" w:cs="Arial" w:eastAsia="Arial" w:hAnsi="Arial"/>
          <w:i/>
          <w:iCs/>
          <w:color w:val="16243E"/>
          <w:sz w:val="22"/>
          <w:szCs w:val="22"/>
        </w:rPr>
        <w:t xml:space="preserve">A licensee begins helping a walk-in customer at an open house find similar homes, without any signed agreement, and later wonders if an agency relationship was created.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Agency relationships are always automatically created the moment a licensee gives out a business card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Agency relationships require a minimum of 30 days of contact before they can exist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An agency relationship can potentially be implied through conduct, even without a signed agreement, depending on how the licensee acted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An agency relationship can only be created by a signed written agreement in Georgia</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Handing out a business card alone does not automatically create an agency relationship.</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no minimum time requirement before an agency relationship can be found to exist.</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Courts and regulators can look at a licensee's conduct and representations to determine whether an agency relationship was implied, even absent a signed contract.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While written agreements are best practice and often required for buyer agency compensation, agency can sometimes be implied by conduct.</w:t>
      </w:r>
    </w:p>
    <w:p>
      <w:pPr>
        <w:spacing w:after="60" w:before="260"/>
      </w:pPr>
      <w:r>
        <w:rPr>
          <w:rFonts w:ascii="Arial" w:cs="Arial" w:eastAsia="Arial" w:hAnsi="Arial"/>
          <w:b/>
          <w:bCs/>
          <w:color w:val="C13A18"/>
          <w:sz w:val="18"/>
          <w:szCs w:val="18"/>
        </w:rPr>
        <w:t xml:space="preserve">QUESTION GA-047</w:t>
      </w:r>
    </w:p>
    <w:p>
      <w:pPr>
        <w:spacing w:after="140"/>
      </w:pPr>
      <w:r>
        <w:rPr>
          <w:rFonts w:ascii="Arial" w:cs="Arial" w:eastAsia="Arial" w:hAnsi="Arial"/>
          <w:i/>
          <w:iCs/>
          <w:color w:val="16243E"/>
          <w:sz w:val="22"/>
          <w:szCs w:val="22"/>
        </w:rPr>
        <w:t xml:space="preserve">A seller's agent is negotiating on behalf of the seller and the buyer's agent asks the seller's agent to reveal the seller's absolute lowest acceptable price.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seller's agent should disclose it to keep negotiations moving quickly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seller's agent must disclose it if directly asked under Georgia law</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seller's agent should disclose it only to the buyer, not the buyer's agent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seller's agent should protect this confidential information unless the seller authorizes its release</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Speed in negotiation does not outweigh the duty to protect the client's confidential negotiating position.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Georgia law does not compel disclosure of a client's confidential negotiating position simply because it is asked.</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Disclosing confidential pricing to the buyer directly would be an even clearer breach of the duty owed to the seller.</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The duty of confidentiality requires protecting the seller's bottom-line price unless the seller has authorized disclosure.</w:t>
      </w:r>
    </w:p>
    <w:p>
      <w:pPr>
        <w:spacing w:after="60" w:before="260"/>
      </w:pPr>
      <w:r>
        <w:rPr>
          <w:rFonts w:ascii="Arial" w:cs="Arial" w:eastAsia="Arial" w:hAnsi="Arial"/>
          <w:b/>
          <w:bCs/>
          <w:color w:val="C13A18"/>
          <w:sz w:val="18"/>
          <w:szCs w:val="18"/>
        </w:rPr>
        <w:t xml:space="preserve">QUESTION GA-048</w:t>
      </w:r>
    </w:p>
    <w:p>
      <w:pPr>
        <w:spacing w:after="140"/>
      </w:pPr>
      <w:r>
        <w:rPr>
          <w:rFonts w:ascii="Arial" w:cs="Arial" w:eastAsia="Arial" w:hAnsi="Arial"/>
          <w:i/>
          <w:iCs/>
          <w:color w:val="16243E"/>
          <w:sz w:val="22"/>
          <w:szCs w:val="22"/>
        </w:rPr>
        <w:t xml:space="preserve">A licensee wants to understand the duty of 'reasonable skill and care' owed to a client.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It only applies to brokers, never salespersons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It means the agent guarantees a successful sale at the client's desired price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It means the agent must perform their professional duties with the competence expected of a reasonably prudent licensee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It only applies during the negotiation phase of a transaction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duty applies to any licensee acting as an agent, not solely brokers.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duty is about competent performance of duties, not a guarantee of a particular sale outcome or price.</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Reasonable skill and care means performing agency duties to the standard of competence expected of a similarly situated, prudent licensee.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Reasonable skill and care applies throughout the full scope of representation, not just during negotiation.</w:t>
      </w:r>
    </w:p>
    <w:p>
      <w:pPr>
        <w:spacing w:after="60" w:before="260"/>
      </w:pPr>
      <w:r>
        <w:rPr>
          <w:rFonts w:ascii="Arial" w:cs="Arial" w:eastAsia="Arial" w:hAnsi="Arial"/>
          <w:b/>
          <w:bCs/>
          <w:color w:val="C13A18"/>
          <w:sz w:val="18"/>
          <w:szCs w:val="18"/>
        </w:rPr>
        <w:t xml:space="preserve">QUESTION GA-049</w:t>
      </w:r>
    </w:p>
    <w:p>
      <w:pPr>
        <w:spacing w:after="140"/>
      </w:pPr>
      <w:r>
        <w:rPr>
          <w:rFonts w:ascii="Arial" w:cs="Arial" w:eastAsia="Arial" w:hAnsi="Arial"/>
          <w:i/>
          <w:iCs/>
          <w:color w:val="16243E"/>
          <w:sz w:val="22"/>
          <w:szCs w:val="22"/>
        </w:rPr>
        <w:t xml:space="preserve">A buyer's agent wants to terminate the buyer agency agreement early because the buyer has become difficult to work with.</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Only the buyer, never the agent, can end a buyer agency agreement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Termination may be possible depending on the agreement's terms, but the agent should follow the contract's provisions and any required notice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agent can simply stop responding to the buyer with no formal action needed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Termination is never possible once a buyer agency agreement is signed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Depending on the agreement's terms, either party may have rights related to termination, not the buyer exclusively.</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Whether and how the agreement can be terminated depends on its written terms, and the agent should follow those provisions and any notice requirements.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Simply going silent does not properly terminate a contractual agency relationship and could create liability.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Most agency agreements do contain mechanisms for termination; it is not an absolute lock-in.</w:t>
      </w:r>
    </w:p>
    <w:p>
      <w:pPr>
        <w:spacing w:after="60" w:before="260"/>
      </w:pPr>
      <w:r>
        <w:rPr>
          <w:rFonts w:ascii="Arial" w:cs="Arial" w:eastAsia="Arial" w:hAnsi="Arial"/>
          <w:b/>
          <w:bCs/>
          <w:color w:val="C13A18"/>
          <w:sz w:val="18"/>
          <w:szCs w:val="18"/>
        </w:rPr>
        <w:t xml:space="preserve">QUESTION GA-050</w:t>
      </w:r>
    </w:p>
    <w:p>
      <w:pPr>
        <w:spacing w:after="140"/>
      </w:pPr>
      <w:r>
        <w:rPr>
          <w:rFonts w:ascii="Arial" w:cs="Arial" w:eastAsia="Arial" w:hAnsi="Arial"/>
          <w:i/>
          <w:iCs/>
          <w:color w:val="16243E"/>
          <w:sz w:val="22"/>
          <w:szCs w:val="22"/>
        </w:rPr>
        <w:t xml:space="preserve">A licensee is representing a seller and personally wants to submit an offer to buy the same property.</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is permitted, but the licensee must disclose their licensee status and any interest in the property to the seller</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permitted only after the listing agreement expires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prohibited in all circumstances under Georgia law</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permitted only if a third-party appraiser is not used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Licensees purchasing property in which they have a licensed role must disclose their license status and interest to protect the client and comply with disclosure rules.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listing does not need to expire first; disclosure of the licensee's status and interest is the key requirement while the listing is active.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Georgia does not categorically prohibit a licensee from purchasing a listed property; it requires disclosure instead.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Appraisal usage is unrelated to the disclosure requirement in this scenario.</w:t>
      </w:r>
    </w:p>
    <w:p>
      <w:pPr>
        <w:spacing w:after="60" w:before="260"/>
      </w:pPr>
      <w:r>
        <w:rPr>
          <w:rFonts w:ascii="Arial" w:cs="Arial" w:eastAsia="Arial" w:hAnsi="Arial"/>
          <w:b/>
          <w:bCs/>
          <w:color w:val="C13A18"/>
          <w:sz w:val="18"/>
          <w:szCs w:val="18"/>
        </w:rPr>
        <w:t xml:space="preserve">QUESTION GA-051</w:t>
      </w:r>
    </w:p>
    <w:p>
      <w:pPr>
        <w:spacing w:after="140"/>
      </w:pPr>
      <w:r>
        <w:rPr>
          <w:rFonts w:ascii="Arial" w:cs="Arial" w:eastAsia="Arial" w:hAnsi="Arial"/>
          <w:i/>
          <w:iCs/>
          <w:color w:val="16243E"/>
          <w:sz w:val="22"/>
          <w:szCs w:val="22"/>
        </w:rPr>
        <w:t xml:space="preserve">A dual agent, having received informed written consent from both parties, is asked by the buyer how low the seller might go, and by the seller how high the buyer might go.</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dual agent must maintain confidentiality of each party's bottom line even under dual agency, unless a party authorizes disclosure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Dual agents have no confidentiality obligations to either party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dual agent should share both confidential figures since both parties consented to dual agency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dual agent should guess at a compromise price and present it as fact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Even under a properly consented dual agency, the agent must keep each side's confidential information, like a bottom-line price, protected unless that party authorizes disclosure.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Dual agents retain limited fiduciary duties to both parties, including confidentiality of sensitive negotiating information.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Consenting to dual agency does not waive each party's confidentiality regarding their negotiating limits.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Presenting a guessed figure as fact would be dishonest and could mislead both parties.</w:t>
      </w:r>
    </w:p>
    <w:p>
      <w:pPr>
        <w:spacing w:after="60" w:before="260"/>
      </w:pPr>
      <w:r>
        <w:rPr>
          <w:rFonts w:ascii="Arial" w:cs="Arial" w:eastAsia="Arial" w:hAnsi="Arial"/>
          <w:b/>
          <w:bCs/>
          <w:color w:val="C13A18"/>
          <w:sz w:val="18"/>
          <w:szCs w:val="18"/>
        </w:rPr>
        <w:t xml:space="preserve">QUESTION GA-052</w:t>
      </w:r>
    </w:p>
    <w:p>
      <w:pPr>
        <w:spacing w:after="140"/>
      </w:pPr>
      <w:r>
        <w:rPr>
          <w:rFonts w:ascii="Arial" w:cs="Arial" w:eastAsia="Arial" w:hAnsi="Arial"/>
          <w:i/>
          <w:iCs/>
          <w:color w:val="16243E"/>
          <w:sz w:val="22"/>
          <w:szCs w:val="22"/>
        </w:rPr>
        <w:t xml:space="preserve">A licensee representing a buyer learns the seller is getting divorced and must sell quickly, information the buyer could use in negotiation.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buyer's agent must confirm the divorce with the seller directly before mentioning it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The buyer's agent's duty is to their own client, so sharing relevant market and motivational information they lawfully learned generally serves the buyer's interest, unless it was told to them in confidence by the seller's side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buyer's agent must report this information to GREC</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buyer's agent must keep this from the buyer to protect the seller</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There's no requirement to verify sensitive personal information directly with the seller before advising a client, though agents should be cautious about relying on unverified rumors.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A buyer's agent generally may use relevant information learned through normal channels to benefit their own client, provided it wasn't disclosed to them in confidence by the seller or seller's agent.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type of situational information has no GREC reporting requirement.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buyer's agent's duty of loyalty runs to the buyer, not the seller, so protecting the seller's leverage is not the buyer agent's obligation.</w:t>
      </w:r>
    </w:p>
    <w:p>
      <w:pPr>
        <w:spacing w:after="60" w:before="260"/>
      </w:pPr>
      <w:r>
        <w:rPr>
          <w:rFonts w:ascii="Arial" w:cs="Arial" w:eastAsia="Arial" w:hAnsi="Arial"/>
          <w:b/>
          <w:bCs/>
          <w:color w:val="C13A18"/>
          <w:sz w:val="18"/>
          <w:szCs w:val="18"/>
        </w:rPr>
        <w:t xml:space="preserve">QUESTION GA-053</w:t>
      </w:r>
    </w:p>
    <w:p>
      <w:pPr>
        <w:spacing w:after="140"/>
      </w:pPr>
      <w:r>
        <w:rPr>
          <w:rFonts w:ascii="Arial" w:cs="Arial" w:eastAsia="Arial" w:hAnsi="Arial"/>
          <w:i/>
          <w:iCs/>
          <w:color w:val="16243E"/>
          <w:sz w:val="22"/>
          <w:szCs w:val="22"/>
        </w:rPr>
        <w:t xml:space="preserve">A licensee working with a customer, not a client, under BRRETA still owes certain baseline duties. Which best describes them?</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same full fiduciary duties owed to a client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Only a duty to avoid criminal conduct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No duties at all are owed to a customer</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Honesty, fair dealing, and disclosure of adverse material facts about the property, without full fiduciary loyalty</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Full fiduciary duties, like loyalty and confidentiality, are reserved for client relationships, not customer relationships.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baseline duty is broader than merely avoiding criminal conduct; it includes honesty and disclosure obligations.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Customers are not owed zero duties; BRRETA sets a baseline of fair dealing.</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BRRETA requires honesty, fair dealing, and disclosure of adverse material facts to customers, while reserving full fiduciary duties for clients.</w:t>
      </w:r>
    </w:p>
    <w:p>
      <w:pPr>
        <w:spacing w:after="60" w:before="260"/>
      </w:pPr>
      <w:r>
        <w:rPr>
          <w:rFonts w:ascii="Arial" w:cs="Arial" w:eastAsia="Arial" w:hAnsi="Arial"/>
          <w:b/>
          <w:bCs/>
          <w:color w:val="C13A18"/>
          <w:sz w:val="18"/>
          <w:szCs w:val="18"/>
        </w:rPr>
        <w:t xml:space="preserve">QUESTION GA-054</w:t>
      </w:r>
    </w:p>
    <w:p>
      <w:pPr>
        <w:spacing w:after="140"/>
      </w:pPr>
      <w:r>
        <w:rPr>
          <w:rFonts w:ascii="Arial" w:cs="Arial" w:eastAsia="Arial" w:hAnsi="Arial"/>
          <w:i/>
          <w:iCs/>
          <w:color w:val="16243E"/>
          <w:sz w:val="22"/>
          <w:szCs w:val="22"/>
        </w:rPr>
        <w:t xml:space="preserve">A seller's agent is contacted directly by the buyer, who is represented by their own agent, asking to negotiate without going through the buyer's agent.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seller's agent should generally route communications back through the buyer's agent, since the buyer is represented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seller's agent should advise the buyer to fire their agent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seller's agent must refuse to speak to the buyer at all, ever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seller's agent should negotiate directly with the buyer to speed things up</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Standard practice and professional courtesy call for working through the buyer's agent once the seller's agent knows the buyer is represented.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Advising a represented party to fire their agent is inappropriate and outside the seller's agent's role.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seller's agent isn't barred from ever speaking with the buyer, but substantive negotiation should generally go through the buyer's representative.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Bypassing the buyer's own agent could undermine that agency relationship and create ethical and legal complications.</w:t>
      </w:r>
    </w:p>
    <w:p>
      <w:pPr>
        <w:spacing w:after="60" w:before="260"/>
      </w:pPr>
      <w:r>
        <w:rPr>
          <w:rFonts w:ascii="Arial" w:cs="Arial" w:eastAsia="Arial" w:hAnsi="Arial"/>
          <w:b/>
          <w:bCs/>
          <w:color w:val="C13A18"/>
          <w:sz w:val="18"/>
          <w:szCs w:val="18"/>
        </w:rPr>
        <w:t xml:space="preserve">QUESTION GA-055</w:t>
      </w:r>
    </w:p>
    <w:p>
      <w:pPr>
        <w:spacing w:after="140"/>
      </w:pPr>
      <w:r>
        <w:rPr>
          <w:rFonts w:ascii="Arial" w:cs="Arial" w:eastAsia="Arial" w:hAnsi="Arial"/>
          <w:i/>
          <w:iCs/>
          <w:color w:val="16243E"/>
          <w:sz w:val="22"/>
          <w:szCs w:val="22"/>
        </w:rPr>
        <w:t xml:space="preserve">A licensee wonders whether the duty of loyalty allows an agent to put their own commission interest ahead of the client's best interest when advising on competing offers.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Yes, maximizing the agent's commission is the primary consideration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Loyalty only matters for listing agreements over a certain price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No, the duty of loyalty requires the agent to place the client's interests above the agent's own personal or financial interests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Loyalty is not a recognized fiduciary duty in Georgia</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Prioritizing personal commission over client interest would directly violate the duty of loyalty.</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Loyalty applies regardless of price point; there is no dollar threshold.</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The duty of loyalty requires the agent to act in the client's best interest, not to prioritize their own compensation.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Loyalty is one of the recognized fiduciary duties an agent owes a client in Georgia.</w:t>
      </w:r>
    </w:p>
    <w:p>
      <w:pPr>
        <w:spacing w:after="60" w:before="260"/>
      </w:pPr>
      <w:r>
        <w:rPr>
          <w:rFonts w:ascii="Arial" w:cs="Arial" w:eastAsia="Arial" w:hAnsi="Arial"/>
          <w:b/>
          <w:bCs/>
          <w:color w:val="C13A18"/>
          <w:sz w:val="18"/>
          <w:szCs w:val="18"/>
        </w:rPr>
        <w:t xml:space="preserve">QUESTION GA-056</w:t>
      </w:r>
    </w:p>
    <w:p>
      <w:pPr>
        <w:spacing w:after="140"/>
      </w:pPr>
      <w:r>
        <w:rPr>
          <w:rFonts w:ascii="Arial" w:cs="Arial" w:eastAsia="Arial" w:hAnsi="Arial"/>
          <w:i/>
          <w:iCs/>
          <w:color w:val="16243E"/>
          <w:sz w:val="22"/>
          <w:szCs w:val="22"/>
        </w:rPr>
        <w:t xml:space="preserve">A buyer's agent is helping a client write an offer and the client asks the agent to omit a financing contingency to appear more competitive, despite needing a loan.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agent should notify the seller directly about the risk</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agent should refuse to prepare the offer at all</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The agent can prepare the offer as instructed but should clearly explain the risks of waiving the contingency so the client can make an informed, lawful decision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agent must add the contingency back in without telling the client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Notifying the seller directly about the buyer's own risk decision is not the buyer's agent's role and would breach confidentiality/loyalty to the buyer.</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Outright refusing to prepare a lawful offer the client wants isn't the appropriate response; counseling the client is.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The duty of obedience to lawful instructions, combined with reasonable care, means advising on risk while ultimately following the client's lawful decision.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Altering the client's offer terms without their knowledge would violate the duty of obedience and loyalty.</w:t>
      </w:r>
    </w:p>
    <w:p>
      <w:pPr>
        <w:spacing w:after="60" w:before="260"/>
      </w:pPr>
      <w:r>
        <w:rPr>
          <w:rFonts w:ascii="Arial" w:cs="Arial" w:eastAsia="Arial" w:hAnsi="Arial"/>
          <w:b/>
          <w:bCs/>
          <w:color w:val="C13A18"/>
          <w:sz w:val="18"/>
          <w:szCs w:val="18"/>
        </w:rPr>
        <w:t xml:space="preserve">QUESTION GA-057</w:t>
      </w:r>
    </w:p>
    <w:p>
      <w:pPr>
        <w:spacing w:after="140"/>
      </w:pPr>
      <w:r>
        <w:rPr>
          <w:rFonts w:ascii="Arial" w:cs="Arial" w:eastAsia="Arial" w:hAnsi="Arial"/>
          <w:i/>
          <w:iCs/>
          <w:color w:val="16243E"/>
          <w:sz w:val="22"/>
          <w:szCs w:val="22"/>
        </w:rPr>
        <w:t xml:space="preserve">An agent is unsure whether Georgia law requires a written agency agreement for a valid buyer or seller representation relationship to exist.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handshake is legally required in Georgia for agency to form</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Georgia's rules generally favor written agreements, and certain protections/compensation rights are best secured in writing, though agency can sometimes arise from conduct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Only listing agreements need to be written; buyer agreements never do</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Georgia requires all agency relationships to be in writing, with no exceptions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handshake has no special legal status here; conduct and written agreements are what matter.</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Best practice and increasingly formal requirements favor written agreements, especially to secure compensation, though agency can in some cases be implied by conduct.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Buyer agency agreements are increasingly standard practice and important for protecting compensation, similar to listing agreements.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While written agreements are strongly preferred and often practically necessary, Georgia doesn't treat every possible agency relationship as automatically void without writing.</w:t>
      </w:r>
    </w:p>
    <w:p>
      <w:pPr>
        <w:spacing w:after="60" w:before="260"/>
      </w:pPr>
      <w:r>
        <w:rPr>
          <w:rFonts w:ascii="Arial" w:cs="Arial" w:eastAsia="Arial" w:hAnsi="Arial"/>
          <w:b/>
          <w:bCs/>
          <w:color w:val="C13A18"/>
          <w:sz w:val="18"/>
          <w:szCs w:val="18"/>
        </w:rPr>
        <w:t xml:space="preserve">QUESTION GA-058</w:t>
      </w:r>
    </w:p>
    <w:p>
      <w:pPr>
        <w:spacing w:after="140"/>
      </w:pPr>
      <w:r>
        <w:rPr>
          <w:rFonts w:ascii="Arial" w:cs="Arial" w:eastAsia="Arial" w:hAnsi="Arial"/>
          <w:i/>
          <w:iCs/>
          <w:color w:val="16243E"/>
          <w:sz w:val="22"/>
          <w:szCs w:val="22"/>
        </w:rPr>
        <w:t xml:space="preserve">A licensee wants to know what happens to an agency relationship when a listing agreement expires without renewal.</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agency relationship and all duties continue indefinitely regardless of expiration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agency relationship converts automatically to a new agreement at the same terms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seller must formally sue the agent to end the relationship</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agency relationship generally ends at expiration, though certain duties like confidentiality can survive termination</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Expiration does terminate the active agency relationship; duties do not simply continue indefinitely as if nothing changed.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no automatic renewal at the same terms; a new agreement would need to be executed.</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Litigation is not required to end an expired agreement; expiration ends it by its own terms.</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When a listing expires, the agency relationship generally ends, though obligations like confidentiality of information learned during the relationship can survive.</w:t>
      </w:r>
    </w:p>
    <w:p>
      <w:pPr>
        <w:spacing w:after="60" w:before="260"/>
      </w:pPr>
      <w:r>
        <w:rPr>
          <w:rFonts w:ascii="Arial" w:cs="Arial" w:eastAsia="Arial" w:hAnsi="Arial"/>
          <w:b/>
          <w:bCs/>
          <w:color w:val="C13A18"/>
          <w:sz w:val="18"/>
          <w:szCs w:val="18"/>
        </w:rPr>
        <w:t xml:space="preserve">QUESTION GA-059</w:t>
      </w:r>
    </w:p>
    <w:p>
      <w:pPr>
        <w:spacing w:after="140"/>
      </w:pPr>
      <w:r>
        <w:rPr>
          <w:rFonts w:ascii="Arial" w:cs="Arial" w:eastAsia="Arial" w:hAnsi="Arial"/>
          <w:i/>
          <w:iCs/>
          <w:color w:val="16243E"/>
          <w:sz w:val="22"/>
          <w:szCs w:val="22"/>
        </w:rPr>
        <w:t xml:space="preserve">A licensee represents a seller. A buyer's agent asks whether the seller would consider a lease-back after closing. The seller's agent does not know the answer.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agent should guess an answer to avoid seeming unprepared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The agent should tell the buyer's agent they will find out from the seller and follow up, consistent with the duty of reasonable care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agent should ignore the question entirely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agent should tell the buyer's agent to ask the seller directly, bypassing the seller's own representation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Guessing risks giving inaccurate information that could mislead the other party and harm the seller's position.</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Checking with the client and providing an accurate follow-up reflects competent, diligent representation.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Ignoring a legitimate question from the other side is inconsistent with professional and fair dealing.</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Directing the other agent to bypass the seller's own representation undermines the seller's agency relationship.</w:t>
      </w:r>
    </w:p>
    <w:p>
      <w:pPr>
        <w:spacing w:after="60" w:before="260"/>
      </w:pPr>
      <w:r>
        <w:rPr>
          <w:rFonts w:ascii="Arial" w:cs="Arial" w:eastAsia="Arial" w:hAnsi="Arial"/>
          <w:b/>
          <w:bCs/>
          <w:color w:val="C13A18"/>
          <w:sz w:val="18"/>
          <w:szCs w:val="18"/>
        </w:rPr>
        <w:t xml:space="preserve">QUESTION GA-060</w:t>
      </w:r>
    </w:p>
    <w:p>
      <w:pPr>
        <w:spacing w:after="140"/>
      </w:pPr>
      <w:r>
        <w:rPr>
          <w:rFonts w:ascii="Arial" w:cs="Arial" w:eastAsia="Arial" w:hAnsi="Arial"/>
          <w:i/>
          <w:iCs/>
          <w:color w:val="16243E"/>
          <w:sz w:val="22"/>
          <w:szCs w:val="22"/>
        </w:rPr>
        <w:t xml:space="preserve">A licensee wants a simple way to explain the difference between a 'client' and a 'customer' under Georgia's brokerage relationship law to a new prospect.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client and a customer are legally identical terms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 client has an agency relationship with full fiduciary duties; a customer is being assisted without an agency relationship and is owed honesty and fair dealing</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Only sellers can be clients; buyers are always customers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customer always pays a commission and a client never does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terms are legally distinct under BRRETA, not interchangeable.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distinction, agency with fiduciary duties versus assistance without agency, is the core client/customer difference under Georgia law.</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Both buyers and sellers can be clients or customers, depending on whether an agency relationship is established.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Commission arrangements are separate from and not defined by the client/customer distinction.</w:t>
      </w:r>
    </w:p>
    <w:p>
      <w:r>
        <w:br w:type="page"/>
      </w:r>
    </w:p>
    <w:p>
      <w:pPr>
        <w:pStyle w:val="Heading1"/>
        <w:spacing w:after="60" w:before="200"/>
      </w:pPr>
      <w:r>
        <w:rPr>
          <w:rFonts w:ascii="Arial" w:cs="Arial" w:eastAsia="Arial" w:hAnsi="Arial"/>
          <w:color w:val="16243E"/>
        </w:rPr>
        <w:t xml:space="preserve">Contracts &amp; GAR Forms</w:t>
      </w:r>
    </w:p>
    <w:p>
      <w:pPr>
        <w:pBdr>
          <w:bottom w:val="single" w:color="E5431F" w:sz="8" w:space="4"/>
        </w:pBdr>
        <w:spacing w:after="300"/>
      </w:pPr>
      <w:r>
        <w:rPr>
          <w:rFonts w:ascii="Arial" w:cs="Arial" w:eastAsia="Arial" w:hAnsi="Arial"/>
          <w:i/>
          <w:iCs/>
          <w:color w:val="677081"/>
          <w:sz w:val="18"/>
          <w:szCs w:val="18"/>
        </w:rPr>
        <w:t xml:space="preserve">30 questions in this section</w:t>
      </w:r>
    </w:p>
    <w:p>
      <w:pPr>
        <w:spacing w:after="60" w:before="260"/>
      </w:pPr>
      <w:r>
        <w:rPr>
          <w:rFonts w:ascii="Arial" w:cs="Arial" w:eastAsia="Arial" w:hAnsi="Arial"/>
          <w:b/>
          <w:bCs/>
          <w:color w:val="C13A18"/>
          <w:sz w:val="18"/>
          <w:szCs w:val="18"/>
        </w:rPr>
        <w:t xml:space="preserve">QUESTION GA-061</w:t>
      </w:r>
    </w:p>
    <w:p>
      <w:pPr>
        <w:spacing w:after="140"/>
      </w:pPr>
      <w:r>
        <w:rPr>
          <w:rFonts w:ascii="Arial" w:cs="Arial" w:eastAsia="Arial" w:hAnsi="Arial"/>
          <w:i/>
          <w:iCs/>
          <w:color w:val="16243E"/>
          <w:sz w:val="22"/>
          <w:szCs w:val="22"/>
        </w:rPr>
        <w:t xml:space="preserve">A buyer signs a purchase and sale agreement, and the seller counters with a change to the closing date. The buyer has not yet accepted the counteroffer.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original offer remains binding despite the counteroffer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binding contract exists as soon as the buyer signs the original offer</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No binding contract exists until there is a valid offer and an acceptance that mirrors it, so the counteroffer must be accepted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seller's counteroffer is automatically accepted after 24 hours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counteroffer legally terminates the original offer, so it cannot simply remain binding alongside the counter.</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buyer's original signature alone did not create a contract because the seller changed a term rather than accepting outright.</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A counteroffer rejects the original offer and creates a new offer that must itself be accepted to form a binding contract; this reflects the mirror image rule.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Georgia contract law does not impose an automatic 24-hour acceptance rule.</w:t>
      </w:r>
    </w:p>
    <w:p>
      <w:pPr>
        <w:spacing w:after="60" w:before="260"/>
      </w:pPr>
      <w:r>
        <w:rPr>
          <w:rFonts w:ascii="Arial" w:cs="Arial" w:eastAsia="Arial" w:hAnsi="Arial"/>
          <w:b/>
          <w:bCs/>
          <w:color w:val="C13A18"/>
          <w:sz w:val="18"/>
          <w:szCs w:val="18"/>
        </w:rPr>
        <w:t xml:space="preserve">QUESTION GA-062</w:t>
      </w:r>
    </w:p>
    <w:p>
      <w:pPr>
        <w:spacing w:after="140"/>
      </w:pPr>
      <w:r>
        <w:rPr>
          <w:rFonts w:ascii="Arial" w:cs="Arial" w:eastAsia="Arial" w:hAnsi="Arial"/>
          <w:i/>
          <w:iCs/>
          <w:color w:val="16243E"/>
          <w:sz w:val="22"/>
          <w:szCs w:val="22"/>
        </w:rPr>
        <w:t xml:space="preserve">A GAR Purchase and Sale Agreement includes a due diligence period. The buyer wants to cancel for any reason before that period ends.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Due diligence periods do not exist in Georgia residential contracts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seller must approve any cancellation request during due diligence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Under the standard GAR due diligence provision, the buyer typically may terminate for any reason during that period and often receive earnest money back</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buyer cannot cancel during due diligence without a specific listed reason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Due diligence periods are a standard and widely used feature of Georgia residential contracts.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whole point of the due diligence period is that it does not require seller approval to exercise.</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The GAR due diligence period is generally a buyer-favorable window allowing termination for essentially any reason, with earnest money typically refunded if properly exercised.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is a common misconception; the standard clause is typically broad, not reason-restricted.</w:t>
      </w:r>
    </w:p>
    <w:p>
      <w:pPr>
        <w:spacing w:after="60" w:before="260"/>
      </w:pPr>
      <w:r>
        <w:rPr>
          <w:rFonts w:ascii="Arial" w:cs="Arial" w:eastAsia="Arial" w:hAnsi="Arial"/>
          <w:b/>
          <w:bCs/>
          <w:color w:val="C13A18"/>
          <w:sz w:val="18"/>
          <w:szCs w:val="18"/>
        </w:rPr>
        <w:t xml:space="preserve">QUESTION GA-063</w:t>
      </w:r>
    </w:p>
    <w:p>
      <w:pPr>
        <w:spacing w:after="140"/>
      </w:pPr>
      <w:r>
        <w:rPr>
          <w:rFonts w:ascii="Arial" w:cs="Arial" w:eastAsia="Arial" w:hAnsi="Arial"/>
          <w:i/>
          <w:iCs/>
          <w:color w:val="16243E"/>
          <w:sz w:val="22"/>
          <w:szCs w:val="22"/>
        </w:rPr>
        <w:t xml:space="preserve">A seller accepts a buyer's offer, and both parties sign, but the buyer's agent forgets to deliver a copy of the fully executed contract to the buyer for several days.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Delivery delay automatically extends the closing date by the same number of days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seller may cancel the contract due to the delivery delay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contract is void until the buyer physically receives a copy</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contract is generally still binding upon mutual execution; failure to promptly deliver a copy is a service issue, not a formation issue</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Georgia contracts do not have this kind of automatic extension tied to internal delivery delays.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delivery delay by the buyer's agent does not, by itself, give the seller a right to cancel.</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Contract formation occurs at mutual execution and delivery of acceptance, not at the moment a physical copy reaches every party's hands after signing.</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While prompt delivery is important practice and can matter for triggering timelines, the contract is generally already binding upon proper execution, and the delay is a professionalism/service concern.</w:t>
      </w:r>
    </w:p>
    <w:p>
      <w:pPr>
        <w:spacing w:after="60" w:before="260"/>
      </w:pPr>
      <w:r>
        <w:rPr>
          <w:rFonts w:ascii="Arial" w:cs="Arial" w:eastAsia="Arial" w:hAnsi="Arial"/>
          <w:b/>
          <w:bCs/>
          <w:color w:val="C13A18"/>
          <w:sz w:val="18"/>
          <w:szCs w:val="18"/>
        </w:rPr>
        <w:t xml:space="preserve">QUESTION GA-064</w:t>
      </w:r>
    </w:p>
    <w:p>
      <w:pPr>
        <w:spacing w:after="140"/>
      </w:pPr>
      <w:r>
        <w:rPr>
          <w:rFonts w:ascii="Arial" w:cs="Arial" w:eastAsia="Arial" w:hAnsi="Arial"/>
          <w:i/>
          <w:iCs/>
          <w:color w:val="16243E"/>
          <w:sz w:val="22"/>
          <w:szCs w:val="22"/>
        </w:rPr>
        <w:t xml:space="preserve">A buyer wants to make an offer contingent on the sale of their current home closing first.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can be structured using a sale-of-buyer's-property contingency, which is a recognized and commonly used contract provision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Contingencies of this type automatically void the contract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Contingent offers based on the sale of another property are illegal in Georgia</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seller must accept any contingent offer presented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A sale contingency tied to the buyer's current property is a well-established, commonly used provision in Georgia purchase agreements.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properly drafted contingency does not void the contract; it defines conditions under which parties can proceed or terminate.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nothing illegal about this type of contingency; it is a standard, negotiated contract term.</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Sellers are free to accept or reject any offer, including contingent ones; acceptance is never mandatory.</w:t>
      </w:r>
    </w:p>
    <w:p>
      <w:pPr>
        <w:spacing w:after="60" w:before="260"/>
      </w:pPr>
      <w:r>
        <w:rPr>
          <w:rFonts w:ascii="Arial" w:cs="Arial" w:eastAsia="Arial" w:hAnsi="Arial"/>
          <w:b/>
          <w:bCs/>
          <w:color w:val="C13A18"/>
          <w:sz w:val="18"/>
          <w:szCs w:val="18"/>
        </w:rPr>
        <w:t xml:space="preserve">QUESTION GA-065</w:t>
      </w:r>
    </w:p>
    <w:p>
      <w:pPr>
        <w:spacing w:after="140"/>
      </w:pPr>
      <w:r>
        <w:rPr>
          <w:rFonts w:ascii="Arial" w:cs="Arial" w:eastAsia="Arial" w:hAnsi="Arial"/>
          <w:i/>
          <w:iCs/>
          <w:color w:val="16243E"/>
          <w:sz w:val="22"/>
          <w:szCs w:val="22"/>
        </w:rPr>
        <w:t xml:space="preserve">An earnest money check is deposited by the listing broker's firm. After closing is delayed due to a title issue, the buyer wants their earnest money released back to them.</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Earnest money is automatically forfeited whenever a delay occurs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Release of earnest money generally requires agreement of both parties or a legal resolution process outlined in the contract, since the broker holds it in trust for both</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listing broker can release the funds to whichever party asks first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buyer may take the earnest money directly from the escrow account themselves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delay alone does not automatically forfeit earnest money; the reason for delay and contract terms determine the outcome.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Because the broker holds earnest money in a fiduciary trust capacity for both parties, release generally requires mutual written agreement or another legally defined resolution process specified in the contract.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broker cannot unilaterally release trust funds to whichever party asks first; that would violate trust account rules.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buyer cannot simply take escrowed funds directly; the broker holds them in trust under specific release procedures.</w:t>
      </w:r>
    </w:p>
    <w:p>
      <w:pPr>
        <w:spacing w:after="60" w:before="260"/>
      </w:pPr>
      <w:r>
        <w:rPr>
          <w:rFonts w:ascii="Arial" w:cs="Arial" w:eastAsia="Arial" w:hAnsi="Arial"/>
          <w:b/>
          <w:bCs/>
          <w:color w:val="C13A18"/>
          <w:sz w:val="18"/>
          <w:szCs w:val="18"/>
        </w:rPr>
        <w:t xml:space="preserve">QUESTION GA-066</w:t>
      </w:r>
    </w:p>
    <w:p>
      <w:pPr>
        <w:spacing w:after="140"/>
      </w:pPr>
      <w:r>
        <w:rPr>
          <w:rFonts w:ascii="Arial" w:cs="Arial" w:eastAsia="Arial" w:hAnsi="Arial"/>
          <w:i/>
          <w:iCs/>
          <w:color w:val="16243E"/>
          <w:sz w:val="22"/>
          <w:szCs w:val="22"/>
        </w:rPr>
        <w:t xml:space="preserve">A buyer and seller want to modify the closing date after the contract has already been fully executed by both parties.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A written amendment signed by both parties is the appropriate way to modify an already-executed contract term like the closing date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Only the brokers, not the parties, can change the closing date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date cannot be changed once the contract is signed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Verbal agreement between the parties is sufficient and enforceable to change the date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A signed written amendment is the standard, enforceable way to modify agreed contract terms after execution.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Brokers facilitate paperwork, but it is the contracting parties, buyer and seller, who must agree to and sign any amendment.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Contract terms, including the closing date, can be modified by mutual written agreement even after execution.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Verbal changes to a written real estate contract are risky and generally not the recommended or reliably enforceable method.</w:t>
      </w:r>
    </w:p>
    <w:p>
      <w:pPr>
        <w:spacing w:after="60" w:before="260"/>
      </w:pPr>
      <w:r>
        <w:rPr>
          <w:rFonts w:ascii="Arial" w:cs="Arial" w:eastAsia="Arial" w:hAnsi="Arial"/>
          <w:b/>
          <w:bCs/>
          <w:color w:val="C13A18"/>
          <w:sz w:val="18"/>
          <w:szCs w:val="18"/>
        </w:rPr>
        <w:t xml:space="preserve">QUESTION GA-067</w:t>
      </w:r>
    </w:p>
    <w:p>
      <w:pPr>
        <w:spacing w:after="140"/>
      </w:pPr>
      <w:r>
        <w:rPr>
          <w:rFonts w:ascii="Arial" w:cs="Arial" w:eastAsia="Arial" w:hAnsi="Arial"/>
          <w:i/>
          <w:iCs/>
          <w:color w:val="16243E"/>
          <w:sz w:val="22"/>
          <w:szCs w:val="22"/>
        </w:rPr>
        <w:t xml:space="preserve">A property inspection during due diligence reveals a foundation issue. The buyer wants to request repairs from the seller.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Repair requests can only be made after closing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buyer has no mechanism to request repairs under a standard GAR contract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seller is legally required to make all requested repairs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buyer can typically use an amendment, such as a repair/remedy request, to negotiate repairs or credits with the seller during due diligence</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Repair negotiations during due diligence occur before closing, precisely so issues can be resolved beforehand.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a standard mechanism, typically a written amendment, for requesting repairs or credits during due diligence.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seller is not legally obligated to agree to every repair request; it is a negotiation.</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Buyers commonly submit a written repair and remedy request as an amendment for the seller to accept, reject, or negotiate during the due diligence period.</w:t>
      </w:r>
    </w:p>
    <w:p>
      <w:pPr>
        <w:spacing w:after="60" w:before="260"/>
      </w:pPr>
      <w:r>
        <w:rPr>
          <w:rFonts w:ascii="Arial" w:cs="Arial" w:eastAsia="Arial" w:hAnsi="Arial"/>
          <w:b/>
          <w:bCs/>
          <w:color w:val="C13A18"/>
          <w:sz w:val="18"/>
          <w:szCs w:val="18"/>
        </w:rPr>
        <w:t xml:space="preserve">QUESTION GA-068</w:t>
      </w:r>
    </w:p>
    <w:p>
      <w:pPr>
        <w:spacing w:after="140"/>
      </w:pPr>
      <w:r>
        <w:rPr>
          <w:rFonts w:ascii="Arial" w:cs="Arial" w:eastAsia="Arial" w:hAnsi="Arial"/>
          <w:i/>
          <w:iCs/>
          <w:color w:val="16243E"/>
          <w:sz w:val="22"/>
          <w:szCs w:val="22"/>
        </w:rPr>
        <w:t xml:space="preserve">A licensee is filling out a special stipulations section of a purchase agreement and wants to add a stipulation that conflicts with the printed contract language elsewhere in the form.</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Printed contract language always overrides special stipulations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Special stipulations can never be added to a standard GAR form</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Special stipulations, being specifically negotiated by the parties, generally control over conflicting pre-printed form language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Conflicting language automatically voids the entire contract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Generally, specifically negotiated language is treated as controlling over generic pre-printed terms, not the reverse.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Special stipulations are a standard, expected part of GAR contracts for adding negotiated terms.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Because special stipulations reflect the parties' specific intent, they typically take precedence over conflicting boilerplate language in the printed form.</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conflict between stipulations and printed terms is typically resolved by interpretation rules, not automatic voiding of the whole contract.</w:t>
      </w:r>
    </w:p>
    <w:p>
      <w:pPr>
        <w:spacing w:after="60" w:before="260"/>
      </w:pPr>
      <w:r>
        <w:rPr>
          <w:rFonts w:ascii="Arial" w:cs="Arial" w:eastAsia="Arial" w:hAnsi="Arial"/>
          <w:b/>
          <w:bCs/>
          <w:color w:val="C13A18"/>
          <w:sz w:val="18"/>
          <w:szCs w:val="18"/>
        </w:rPr>
        <w:t xml:space="preserve">QUESTION GA-069</w:t>
      </w:r>
    </w:p>
    <w:p>
      <w:pPr>
        <w:spacing w:after="140"/>
      </w:pPr>
      <w:r>
        <w:rPr>
          <w:rFonts w:ascii="Arial" w:cs="Arial" w:eastAsia="Arial" w:hAnsi="Arial"/>
          <w:i/>
          <w:iCs/>
          <w:color w:val="16243E"/>
          <w:sz w:val="22"/>
          <w:szCs w:val="22"/>
        </w:rPr>
        <w:t xml:space="preserve">A seller wants to accept an offer but change the personal property being included, striking out the refrigerator from the list of items conveyed.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seller cannot make any changes to a submitted offer</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This is a counteroffer, since it changes a term of the original offer, and requires the buyer's acceptance to become binding</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change can be made verbally after closing instead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Personal property terms cannot legally be included in a real estate contract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Sellers can respond with changes; the issue is what legal effect that change has, not whether it's allowed.</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Striking an item changes a material term of the offer, making the seller's response a counteroffer that the buyer must accept for a contract to form.</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Personal property inclusions/exclusions should be addressed in the written contract, not left to verbal agreement after the fact.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Personal property terms are commonly and properly included in real estate purchase agreements.</w:t>
      </w:r>
    </w:p>
    <w:p>
      <w:pPr>
        <w:spacing w:after="60" w:before="260"/>
      </w:pPr>
      <w:r>
        <w:rPr>
          <w:rFonts w:ascii="Arial" w:cs="Arial" w:eastAsia="Arial" w:hAnsi="Arial"/>
          <w:b/>
          <w:bCs/>
          <w:color w:val="C13A18"/>
          <w:sz w:val="18"/>
          <w:szCs w:val="18"/>
        </w:rPr>
        <w:t xml:space="preserve">QUESTION GA-070</w:t>
      </w:r>
    </w:p>
    <w:p>
      <w:pPr>
        <w:spacing w:after="140"/>
      </w:pPr>
      <w:r>
        <w:rPr>
          <w:rFonts w:ascii="Arial" w:cs="Arial" w:eastAsia="Arial" w:hAnsi="Arial"/>
          <w:i/>
          <w:iCs/>
          <w:color w:val="16243E"/>
          <w:sz w:val="22"/>
          <w:szCs w:val="22"/>
        </w:rPr>
        <w:t xml:space="preserve">A contract's financing contingency deadline passes and the buyer has not obtained loan approval or notified the seller of an extension request.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financing contingency automatically extends indefinitely with no action needed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buyer automatically forfeits the property entirely, including any deposit paid toward the purchase price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seller must extend the deadline regardless of buyer inaction</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Depending on the contract's specific language, missing the deadline without action can affect the buyer's rights under that contingency, potentially exposing earnest money or the contract itself</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Contingency deadlines are not automatically self-extending; the specific contract language controls what happens.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Georgia residential contracts of this type do not typically involve forfeiture of a purchase price deposit beyond earnest money, since full price is not paid until closing.</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seller is not obligated to extend a deadline just because the buyer missed it; that would require mutual agreement.</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The consequences of missing a financing contingency deadline depend on the contract's exact terms, and inaction can jeopardize the buyer's contingency protection or earnest money.</w:t>
      </w:r>
    </w:p>
    <w:p>
      <w:pPr>
        <w:spacing w:after="60" w:before="260"/>
      </w:pPr>
      <w:r>
        <w:rPr>
          <w:rFonts w:ascii="Arial" w:cs="Arial" w:eastAsia="Arial" w:hAnsi="Arial"/>
          <w:b/>
          <w:bCs/>
          <w:color w:val="C13A18"/>
          <w:sz w:val="18"/>
          <w:szCs w:val="18"/>
        </w:rPr>
        <w:t xml:space="preserve">QUESTION GA-071</w:t>
      </w:r>
    </w:p>
    <w:p>
      <w:pPr>
        <w:spacing w:after="140"/>
      </w:pPr>
      <w:r>
        <w:rPr>
          <w:rFonts w:ascii="Arial" w:cs="Arial" w:eastAsia="Arial" w:hAnsi="Arial"/>
          <w:i/>
          <w:iCs/>
          <w:color w:val="16243E"/>
          <w:sz w:val="22"/>
          <w:szCs w:val="22"/>
        </w:rPr>
        <w:t xml:space="preserve">A buyer wants to know whether a real estate sales contract for the purchase of land must be in writing to be enforceable in Georgia.</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Writing is only required for commercial property, not residential</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Yes, under the Statute of Frauds, contracts for the sale of real property generally must be in writing to be enforceable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No, oral agreements to sell real property are fully enforceable in Georgia</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Only contracts over $50,000 need to be written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writing requirement applies to real property sales generally, not just commercial transactions.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Georgia's Statute of Frauds requires contracts for the sale of an interest in real property to be in writing and signed to be enforceable.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Oral agreements for the sale of real property are generally not enforceable due to the Statute of Frauds.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There is no dollar-value threshold in the Statute of Frauds requirement for real estate contracts.</w:t>
      </w:r>
    </w:p>
    <w:p>
      <w:pPr>
        <w:spacing w:after="60" w:before="260"/>
      </w:pPr>
      <w:r>
        <w:rPr>
          <w:rFonts w:ascii="Arial" w:cs="Arial" w:eastAsia="Arial" w:hAnsi="Arial"/>
          <w:b/>
          <w:bCs/>
          <w:color w:val="C13A18"/>
          <w:sz w:val="18"/>
          <w:szCs w:val="18"/>
        </w:rPr>
        <w:t xml:space="preserve">QUESTION GA-072</w:t>
      </w:r>
    </w:p>
    <w:p>
      <w:pPr>
        <w:spacing w:after="140"/>
      </w:pPr>
      <w:r>
        <w:rPr>
          <w:rFonts w:ascii="Arial" w:cs="Arial" w:eastAsia="Arial" w:hAnsi="Arial"/>
          <w:i/>
          <w:iCs/>
          <w:color w:val="16243E"/>
          <w:sz w:val="22"/>
          <w:szCs w:val="22"/>
        </w:rPr>
        <w:t xml:space="preserve">A buyer's earnest money check bounces after the contract is signed and due diligence has already ended.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listing broker must personally cover the shortfall from the bounced check</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 bounced check can constitute a breach of the buyer's contractual obligation to deposit earnest money, potentially giving the seller remedies under the contract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contract is automatically void the moment the check bounces, with no notice required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bounced earnest money check has no legal significance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listing broker has no personal obligation to cover a buyer's bounced earnest money check.</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Failing to fund earnest money as promised is a default that can trigger the contract's default and remedy provisions in favor of the seller.</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Most contracts require notice and an opportunity to cure rather than automatic voiding with zero process.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bounced earnest money check is a real and potentially significant breach of a contractual obligation.</w:t>
      </w:r>
    </w:p>
    <w:p>
      <w:pPr>
        <w:spacing w:after="60" w:before="260"/>
      </w:pPr>
      <w:r>
        <w:rPr>
          <w:rFonts w:ascii="Arial" w:cs="Arial" w:eastAsia="Arial" w:hAnsi="Arial"/>
          <w:b/>
          <w:bCs/>
          <w:color w:val="C13A18"/>
          <w:sz w:val="18"/>
          <w:szCs w:val="18"/>
        </w:rPr>
        <w:t xml:space="preserve">QUESTION GA-073</w:t>
      </w:r>
    </w:p>
    <w:p>
      <w:pPr>
        <w:spacing w:after="140"/>
      </w:pPr>
      <w:r>
        <w:rPr>
          <w:rFonts w:ascii="Arial" w:cs="Arial" w:eastAsia="Arial" w:hAnsi="Arial"/>
          <w:i/>
          <w:iCs/>
          <w:color w:val="16243E"/>
          <w:sz w:val="22"/>
          <w:szCs w:val="22"/>
        </w:rPr>
        <w:t xml:space="preserve">A licensee is asked by a buyer to draft custom legal language for a special stipulation involving a complex tax-deferred exchange.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licensee should generally avoid drafting complex custom legal language and should recommend the buyer consult an attorney, to avoid the unauthorized practice of law</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licensee should draft the custom legal language personally since they are familiar with contracts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Only brokers, never salespersons, may draft any special stipulations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GAR forms prohibit any reference to 1031 exchanges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Complex legal drafting beyond standard, association-approved clauses risks unauthorized practice of law concerns, so referral to an attorney is the appropriate course.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Even experienced licensees should be cautious; drafting complex, novel legal terms risks the unauthorized practice of law.</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Both salespersons and brokers can fill in standard, pre-approved contract language, but complex custom drafting is the concern here, not license level.</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Standard cooperation language for 1031 exchanges can be referenced; the concern is custom legal drafting, not the topic itself.</w:t>
      </w:r>
    </w:p>
    <w:p>
      <w:pPr>
        <w:spacing w:after="60" w:before="260"/>
      </w:pPr>
      <w:r>
        <w:rPr>
          <w:rFonts w:ascii="Arial" w:cs="Arial" w:eastAsia="Arial" w:hAnsi="Arial"/>
          <w:b/>
          <w:bCs/>
          <w:color w:val="C13A18"/>
          <w:sz w:val="18"/>
          <w:szCs w:val="18"/>
        </w:rPr>
        <w:t xml:space="preserve">QUESTION GA-074</w:t>
      </w:r>
    </w:p>
    <w:p>
      <w:pPr>
        <w:spacing w:after="140"/>
      </w:pPr>
      <w:r>
        <w:rPr>
          <w:rFonts w:ascii="Arial" w:cs="Arial" w:eastAsia="Arial" w:hAnsi="Arial"/>
          <w:i/>
          <w:iCs/>
          <w:color w:val="16243E"/>
          <w:sz w:val="22"/>
          <w:szCs w:val="22"/>
        </w:rPr>
        <w:t xml:space="preserve">A buyer wants to submit an offer with a shortened due diligence period of only two days to make the offer more attractive to the seller.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due diligence period must be at least 10 days under Georgia law</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The length of the due diligence period is negotiable between the parties and can be shortened if both agree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Shortening the due diligence period automatically waives the buyer's right to inspect entirely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Due diligence periods are fixed by Georgia law and cannot be shortened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There is no statutory minimum of 10 days for the due diligence period in Georgia residential contracts.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Because due diligence length is a negotiated term, buyers and sellers can agree to shorten or lengthen it as part of offer strategy.</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Shortening the period changes the available time but does not by itself eliminate the buyer's right to inspect within that window.</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Georgia law does not fix a mandatory statewide due diligence length; it is a negotiated contract term.</w:t>
      </w:r>
    </w:p>
    <w:p>
      <w:pPr>
        <w:spacing w:after="60" w:before="260"/>
      </w:pPr>
      <w:r>
        <w:rPr>
          <w:rFonts w:ascii="Arial" w:cs="Arial" w:eastAsia="Arial" w:hAnsi="Arial"/>
          <w:b/>
          <w:bCs/>
          <w:color w:val="C13A18"/>
          <w:sz w:val="18"/>
          <w:szCs w:val="18"/>
        </w:rPr>
        <w:t xml:space="preserve">QUESTION GA-075</w:t>
      </w:r>
    </w:p>
    <w:p>
      <w:pPr>
        <w:spacing w:after="140"/>
      </w:pPr>
      <w:r>
        <w:rPr>
          <w:rFonts w:ascii="Arial" w:cs="Arial" w:eastAsia="Arial" w:hAnsi="Arial"/>
          <w:i/>
          <w:iCs/>
          <w:color w:val="16243E"/>
          <w:sz w:val="22"/>
          <w:szCs w:val="22"/>
        </w:rPr>
        <w:t xml:space="preserve">A listing agreement between a seller and broker is set to expire in 30 days, but the broker has already invested significant marketing effort into the property.</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broker can unilaterally extend the term based on effort invested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The listing agreement will expire on its stated date unless the parties agree in writing to extend it; marketing effort alone does not extend the term</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Georgia law requires a minimum one-year listing term</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Listing agreements automatically renew unless the seller cancels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broker cannot unilaterally extend a listing term without the seller's agreement, regardless of effort invested.</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A listing agreement's term is defined by its written provisions, and extending it requires mutual written agreement, not just past effort by the broker.</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Georgia-mandated minimum one-year listing term; terms are negotiated between broker and seller.</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Standard listing agreements do not automatically renew by default; they expire per their stated terms.</w:t>
      </w:r>
    </w:p>
    <w:p>
      <w:pPr>
        <w:spacing w:after="60" w:before="260"/>
      </w:pPr>
      <w:r>
        <w:rPr>
          <w:rFonts w:ascii="Arial" w:cs="Arial" w:eastAsia="Arial" w:hAnsi="Arial"/>
          <w:b/>
          <w:bCs/>
          <w:color w:val="C13A18"/>
          <w:sz w:val="18"/>
          <w:szCs w:val="18"/>
        </w:rPr>
        <w:t xml:space="preserve">QUESTION GA-076</w:t>
      </w:r>
    </w:p>
    <w:p>
      <w:pPr>
        <w:spacing w:after="140"/>
      </w:pPr>
      <w:r>
        <w:rPr>
          <w:rFonts w:ascii="Arial" w:cs="Arial" w:eastAsia="Arial" w:hAnsi="Arial"/>
          <w:i/>
          <w:iCs/>
          <w:color w:val="16243E"/>
          <w:sz w:val="22"/>
          <w:szCs w:val="22"/>
        </w:rPr>
        <w:t xml:space="preserve">A buyer and seller reach a verbal agreement over the phone on price and terms but have not yet signed anything.</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No binding contract for the sale of real property generally exists yet, since Georgia requires such agreements to be in writing and signed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binding real estate contract already exists because both parties agreed verbally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Verbal real estate agreements are enforceable if a witness overheard the call</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agreement becomes binding once texted, even informally, without signatures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Under the Statute of Frauds, an enforceable contract for the sale of real property generally requires a signed writing, so a verbal agreement alone is not yet binding.</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verbal agreement alone does not satisfy Georgia's writing requirement for real property sales contracts.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witness overhearing a verbal agreement does not substitute for the required written, signed contract.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An informal text without proper signatures does not automatically satisfy the writing and signature requirements either.</w:t>
      </w:r>
    </w:p>
    <w:p>
      <w:pPr>
        <w:spacing w:after="60" w:before="260"/>
      </w:pPr>
      <w:r>
        <w:rPr>
          <w:rFonts w:ascii="Arial" w:cs="Arial" w:eastAsia="Arial" w:hAnsi="Arial"/>
          <w:b/>
          <w:bCs/>
          <w:color w:val="C13A18"/>
          <w:sz w:val="18"/>
          <w:szCs w:val="18"/>
        </w:rPr>
        <w:t xml:space="preserve">QUESTION GA-077</w:t>
      </w:r>
    </w:p>
    <w:p>
      <w:pPr>
        <w:spacing w:after="140"/>
      </w:pPr>
      <w:r>
        <w:rPr>
          <w:rFonts w:ascii="Arial" w:cs="Arial" w:eastAsia="Arial" w:hAnsi="Arial"/>
          <w:i/>
          <w:iCs/>
          <w:color w:val="16243E"/>
          <w:sz w:val="22"/>
          <w:szCs w:val="22"/>
        </w:rPr>
        <w:t xml:space="preserve">A seller wants to include a stipulation in the contract that the buyer waives their right to a home inspection entirely.</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Parties can negotiate and agree to waive inspection contingencies as part of the contract, since Georgia contract terms are largely a matter of negotiation between the parties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Inspection waivers are prohibited under Georgia law</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Waiving inspection automatically voids the entire due diligence period concept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buyer must always be allowed at least one inspection under state law</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Because Georgia real estate contracts are largely governed by freedom of contract, parties can negotiate terms like waiving certain contingencies, including inspections.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Georgia law does not prohibit parties from agreeing to waive inspection rights as a negotiated term.</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Waiving inspection specifically does not necessarily eliminate the entire due diligence period, which can cover other matters like financing or title too.</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There is no statutory guarantee of a mandatory inspection right that can't be waived by agreement.</w:t>
      </w:r>
    </w:p>
    <w:p>
      <w:pPr>
        <w:spacing w:after="60" w:before="260"/>
      </w:pPr>
      <w:r>
        <w:rPr>
          <w:rFonts w:ascii="Arial" w:cs="Arial" w:eastAsia="Arial" w:hAnsi="Arial"/>
          <w:b/>
          <w:bCs/>
          <w:color w:val="C13A18"/>
          <w:sz w:val="18"/>
          <w:szCs w:val="18"/>
        </w:rPr>
        <w:t xml:space="preserve">QUESTION GA-078</w:t>
      </w:r>
    </w:p>
    <w:p>
      <w:pPr>
        <w:spacing w:after="140"/>
      </w:pPr>
      <w:r>
        <w:rPr>
          <w:rFonts w:ascii="Arial" w:cs="Arial" w:eastAsia="Arial" w:hAnsi="Arial"/>
          <w:i/>
          <w:iCs/>
          <w:color w:val="16243E"/>
          <w:sz w:val="22"/>
          <w:szCs w:val="22"/>
        </w:rPr>
        <w:t xml:space="preserve">A buyer's offer includes a clause making the sale contingent on a satisfactory appraisal at or above the purchase price.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Appraisal contingencies only apply to cash purchases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Appraisal contingencies are not permitted in Georgia real estate contracts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seller must lower the price automatically if the appraisal comes in low</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An appraisal contingency is a standard, negotiable protection allowing the buyer certain rights if the property appraises below the purchase price</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Appraisal contingencies are primarily relevant to financed purchases where a lender requires an appraisal; they are not limited to cash deals, though they matter most when financing is involved.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Appraisal contingencies are commonly used and fully permitted in Georgia purchase contracts.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contingency gives the buyer options; it does not automatically force the seller to reduce the price.</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a standard financing-related protection giving the buyer options, such as renegotiating or terminating, if the appraisal comes in low.</w:t>
      </w:r>
    </w:p>
    <w:p>
      <w:pPr>
        <w:spacing w:after="60" w:before="260"/>
      </w:pPr>
      <w:r>
        <w:rPr>
          <w:rFonts w:ascii="Arial" w:cs="Arial" w:eastAsia="Arial" w:hAnsi="Arial"/>
          <w:b/>
          <w:bCs/>
          <w:color w:val="C13A18"/>
          <w:sz w:val="18"/>
          <w:szCs w:val="18"/>
        </w:rPr>
        <w:t xml:space="preserve">QUESTION GA-079</w:t>
      </w:r>
    </w:p>
    <w:p>
      <w:pPr>
        <w:spacing w:after="140"/>
      </w:pPr>
      <w:r>
        <w:rPr>
          <w:rFonts w:ascii="Arial" w:cs="Arial" w:eastAsia="Arial" w:hAnsi="Arial"/>
          <w:i/>
          <w:iCs/>
          <w:color w:val="16243E"/>
          <w:sz w:val="22"/>
          <w:szCs w:val="22"/>
        </w:rPr>
        <w:t xml:space="preserve">A licensee wants to know what happens if a buyer fails to close on the agreed date without a valid contractual excuse, such as an active contingency.</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seller must simply wait indefinitely with no recourse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The buyer may be in default, and the contract's default/remedies provisions, which can include earnest money forfeiture or other remedies, may apply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listing broker automatically becomes liable for the buyer's failure to close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Nothing happens; closing dates are only suggestions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Sellers typically have contractual remedies available rather than being left with no recourse.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Failing to close without a valid excuse can constitute a breach, triggering whatever default and remedy provisions the contract specifies, which may include earnest money.</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listing broker is not personally liable for a buyer's failure to perform under the contract.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Closing dates in a signed contract are binding obligations, not mere suggestions.</w:t>
      </w:r>
    </w:p>
    <w:p>
      <w:pPr>
        <w:spacing w:after="60" w:before="260"/>
      </w:pPr>
      <w:r>
        <w:rPr>
          <w:rFonts w:ascii="Arial" w:cs="Arial" w:eastAsia="Arial" w:hAnsi="Arial"/>
          <w:b/>
          <w:bCs/>
          <w:color w:val="C13A18"/>
          <w:sz w:val="18"/>
          <w:szCs w:val="18"/>
        </w:rPr>
        <w:t xml:space="preserve">QUESTION GA-080</w:t>
      </w:r>
    </w:p>
    <w:p>
      <w:pPr>
        <w:spacing w:after="140"/>
      </w:pPr>
      <w:r>
        <w:rPr>
          <w:rFonts w:ascii="Arial" w:cs="Arial" w:eastAsia="Arial" w:hAnsi="Arial"/>
          <w:i/>
          <w:iCs/>
          <w:color w:val="16243E"/>
          <w:sz w:val="22"/>
          <w:szCs w:val="22"/>
        </w:rPr>
        <w:t xml:space="preserve">A buyer wants to know whether they can assign their rights under a signed purchase and sale agreement to another buyer.</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Whether assignment is permitted depends on the specific language of the contract, which may allow, restrict, or prohibit assignment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Assignment is always automatically allowed with no restrictions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Assignment is illegal for all Georgia residential contracts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Only the seller can assign a purchase and sale agreement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Standard purchase agreements often address assignability directly, and the specific contract language controls whether and how assignment is permitted.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Assignment rights are not automatic or unrestricted; they depend on what the contract itself says.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Assignment is not categorically illegal; many contracts permit it, sometimes with seller consent required.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Buyers, not sellers, are typically the party whose assignment rights under a purchase contract are at issue.</w:t>
      </w:r>
    </w:p>
    <w:p>
      <w:pPr>
        <w:spacing w:after="60" w:before="260"/>
      </w:pPr>
      <w:r>
        <w:rPr>
          <w:rFonts w:ascii="Arial" w:cs="Arial" w:eastAsia="Arial" w:hAnsi="Arial"/>
          <w:b/>
          <w:bCs/>
          <w:color w:val="C13A18"/>
          <w:sz w:val="18"/>
          <w:szCs w:val="18"/>
        </w:rPr>
        <w:t xml:space="preserve">QUESTION GA-081</w:t>
      </w:r>
    </w:p>
    <w:p>
      <w:pPr>
        <w:spacing w:after="140"/>
      </w:pPr>
      <w:r>
        <w:rPr>
          <w:rFonts w:ascii="Arial" w:cs="Arial" w:eastAsia="Arial" w:hAnsi="Arial"/>
          <w:i/>
          <w:iCs/>
          <w:color w:val="16243E"/>
          <w:sz w:val="22"/>
          <w:szCs w:val="22"/>
        </w:rPr>
        <w:t xml:space="preserve">A licensee is helping a for-sale-by-owner seller and a buyer who has their own agent complete a purchase agreement, and the seller asks the buyer's agent to also represent the seller in the same transaction for a reduced fee.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arrangement requires no disclosure since the fee is reduced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impossible since a FSBO seller can never be represented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could create a dual agency situation requiring informed written consent from both the buyer and seller before proceeding</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automatically creates an illegal dual agency with no disclosure needed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reduced fee does not eliminate the disclosure and consent requirements tied to dual agency.</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FSBO seller can absolutely engage a licensee for representation; there's nothing barring that.</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If the buyer's agent begins representing both parties, that creates dual agency, which under Georgia law requires informed written consent from both parties.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Dual agency is not automatically illegal, but it does require proper disclosure and consent, which cannot be skipped.</w:t>
      </w:r>
    </w:p>
    <w:p>
      <w:pPr>
        <w:spacing w:after="60" w:before="260"/>
      </w:pPr>
      <w:r>
        <w:rPr>
          <w:rFonts w:ascii="Arial" w:cs="Arial" w:eastAsia="Arial" w:hAnsi="Arial"/>
          <w:b/>
          <w:bCs/>
          <w:color w:val="C13A18"/>
          <w:sz w:val="18"/>
          <w:szCs w:val="18"/>
        </w:rPr>
        <w:t xml:space="preserve">QUESTION GA-082</w:t>
      </w:r>
    </w:p>
    <w:p>
      <w:pPr>
        <w:spacing w:after="140"/>
      </w:pPr>
      <w:r>
        <w:rPr>
          <w:rFonts w:ascii="Arial" w:cs="Arial" w:eastAsia="Arial" w:hAnsi="Arial"/>
          <w:i/>
          <w:iCs/>
          <w:color w:val="16243E"/>
          <w:sz w:val="22"/>
          <w:szCs w:val="22"/>
        </w:rPr>
        <w:t xml:space="preserve">A seller wants to back out of a signed contract because a higher offer came in after acceptance, but the buyer has met all contingencies and is ready to close.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Contracts become void whenever a higher subsequent offer is received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buyer automatically loses all rights once a higher offer appears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seller can freely cancel since a better offer arrived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seller generally cannot unilaterally cancel a valid, binding contract simply because a better offer appeared; doing so may expose the seller to legal remedies sought by the buyer</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subsequent higher offer has no automatic legal effect on an already-existing binding contract.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buyer's contractual rights do not evaporate simply because someone else makes a later, higher offer.</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better subsequent offer does not give the seller a unilateral right to cancel an already binding contract.</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Once a contract is validly formed, the seller is generally bound by it, and improperly backing out can expose the seller to remedies like specific performance or damages sought by the buyer.</w:t>
      </w:r>
    </w:p>
    <w:p>
      <w:pPr>
        <w:spacing w:after="60" w:before="260"/>
      </w:pPr>
      <w:r>
        <w:rPr>
          <w:rFonts w:ascii="Arial" w:cs="Arial" w:eastAsia="Arial" w:hAnsi="Arial"/>
          <w:b/>
          <w:bCs/>
          <w:color w:val="C13A18"/>
          <w:sz w:val="18"/>
          <w:szCs w:val="18"/>
        </w:rPr>
        <w:t xml:space="preserve">QUESTION GA-083</w:t>
      </w:r>
    </w:p>
    <w:p>
      <w:pPr>
        <w:spacing w:after="140"/>
      </w:pPr>
      <w:r>
        <w:rPr>
          <w:rFonts w:ascii="Arial" w:cs="Arial" w:eastAsia="Arial" w:hAnsi="Arial"/>
          <w:i/>
          <w:iCs/>
          <w:color w:val="16243E"/>
          <w:sz w:val="22"/>
          <w:szCs w:val="22"/>
        </w:rPr>
        <w:t xml:space="preserve">A contract contains a clause stating that time is of the essence for all deadlines listed.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clause is unenforceable in Georgia</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clause has no legal meaning and can be ignored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clause means that stated deadlines must be strictly met, and missing them without agreed extension can have significant legal consequences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clause only applies to the closing date, not other deadlines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type of clause is a recognized and enforceable contract provision under Georgia law.</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'time is of the essence' clause is a meaningful, enforceable legal provision, not boilerplate to disregard.</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clause heightens the importance of every listed deadline, making strict compliance important since missing one may be treated as a material breach.</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As written, a general time-is-of-the-essence clause typically applies to all stated deadlines in the contract, not just closing.</w:t>
      </w:r>
    </w:p>
    <w:p>
      <w:pPr>
        <w:spacing w:after="60" w:before="260"/>
      </w:pPr>
      <w:r>
        <w:rPr>
          <w:rFonts w:ascii="Arial" w:cs="Arial" w:eastAsia="Arial" w:hAnsi="Arial"/>
          <w:b/>
          <w:bCs/>
          <w:color w:val="C13A18"/>
          <w:sz w:val="18"/>
          <w:szCs w:val="18"/>
        </w:rPr>
        <w:t xml:space="preserve">QUESTION GA-084</w:t>
      </w:r>
    </w:p>
    <w:p>
      <w:pPr>
        <w:spacing w:after="140"/>
      </w:pPr>
      <w:r>
        <w:rPr>
          <w:rFonts w:ascii="Arial" w:cs="Arial" w:eastAsia="Arial" w:hAnsi="Arial"/>
          <w:i/>
          <w:iCs/>
          <w:color w:val="16243E"/>
          <w:sz w:val="22"/>
          <w:szCs w:val="22"/>
        </w:rPr>
        <w:t xml:space="preserve">A buyer's lender requires a termite letter (wood infestation report) before closing, and the contract is silent on who pays for it.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Georgia law fixes this cost on the seller automatically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listing broker must pay for the termite letter</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Since the contract is silent, the parties should negotiate and clarify this via amendment or refer to local custom, since who pays is a negotiable contract term, not fixed by statute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Georgia law fixes this cost on the buyer automatically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Georgia does not have a blanket statute automatically assigning this cost to the seller either.</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Listing brokers are not personally responsible for paying inspection-related third-party costs like a termite letter.</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Because the contract is silent, the parties should clarify and agree on payment responsibility, often reflecting local custom, through negotiation or an amendment.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Georgia does not have a blanket statute automatically assigning this cost to the buyer.</w:t>
      </w:r>
    </w:p>
    <w:p>
      <w:pPr>
        <w:spacing w:after="60" w:before="260"/>
      </w:pPr>
      <w:r>
        <w:rPr>
          <w:rFonts w:ascii="Arial" w:cs="Arial" w:eastAsia="Arial" w:hAnsi="Arial"/>
          <w:b/>
          <w:bCs/>
          <w:color w:val="C13A18"/>
          <w:sz w:val="18"/>
          <w:szCs w:val="18"/>
        </w:rPr>
        <w:t xml:space="preserve">QUESTION GA-085</w:t>
      </w:r>
    </w:p>
    <w:p>
      <w:pPr>
        <w:spacing w:after="140"/>
      </w:pPr>
      <w:r>
        <w:rPr>
          <w:rFonts w:ascii="Arial" w:cs="Arial" w:eastAsia="Arial" w:hAnsi="Arial"/>
          <w:i/>
          <w:iCs/>
          <w:color w:val="16243E"/>
          <w:sz w:val="22"/>
          <w:szCs w:val="22"/>
        </w:rPr>
        <w:t xml:space="preserve">A buyer wants to terminate a contract after the due diligence period has ended, citing a repair issue discovered during a final walk-through.</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After due diligence ends, the buyer's ability to terminate is generally more limited and depends on remaining contingencies or specific contract provisions covering the walk-through</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impossible; contracts cannot be terminated after due diligence under any circumstance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buyer retains unlimited termination rights at any time before closing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seller must automatically agree to any termination request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Once due diligence ends, termination options narrow to whatever contingencies remain active or specific provisions, such as final walk-through language, allow.</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Termination can still occur after due diligence under other valid contract provisions or by mutual agreement; it is not flatly impossible.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broad, largely unrestricted right to terminate is specific to the due diligence period; it is not unlimited throughout the whole contract term.</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seller is not obligated to automatically agree to a termination request outside of contractually defined rights.</w:t>
      </w:r>
    </w:p>
    <w:p>
      <w:pPr>
        <w:spacing w:after="60" w:before="260"/>
      </w:pPr>
      <w:r>
        <w:rPr>
          <w:rFonts w:ascii="Arial" w:cs="Arial" w:eastAsia="Arial" w:hAnsi="Arial"/>
          <w:b/>
          <w:bCs/>
          <w:color w:val="C13A18"/>
          <w:sz w:val="18"/>
          <w:szCs w:val="18"/>
        </w:rPr>
        <w:t xml:space="preserve">QUESTION GA-086</w:t>
      </w:r>
    </w:p>
    <w:p>
      <w:pPr>
        <w:spacing w:after="140"/>
      </w:pPr>
      <w:r>
        <w:rPr>
          <w:rFonts w:ascii="Arial" w:cs="Arial" w:eastAsia="Arial" w:hAnsi="Arial"/>
          <w:i/>
          <w:iCs/>
          <w:color w:val="16243E"/>
          <w:sz w:val="22"/>
          <w:szCs w:val="22"/>
        </w:rPr>
        <w:t xml:space="preserve">A buyer's agent fills in a special stipulation using unclear, ambiguous language that could be read two different ways.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Ambiguous language can create disputes and may be interpreted against the drafter, so licensees should use clear, precise language when completing forms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Ambiguous stipulations are automatically stricken from the contract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Ambiguous language has no real consequences in a real estate contract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Ambiguity is always automatically resolved in favor of the buyer</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Contract interpretation principles can construe ambiguity against the drafter, underscoring why licensees must write clear, unambiguous stipulations.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Ambiguous language is not automatically deleted from a contract; it typically must be interpreted or clarified, sometimes through dispute.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Ambiguous language is a real source of disputes and potential liability, not a non-issue.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There is no automatic rule resolving ambiguity in the buyer's favor specifically; interpretation depends on the circumstances and applicable legal principles.</w:t>
      </w:r>
    </w:p>
    <w:p>
      <w:pPr>
        <w:spacing w:after="60" w:before="260"/>
      </w:pPr>
      <w:r>
        <w:rPr>
          <w:rFonts w:ascii="Arial" w:cs="Arial" w:eastAsia="Arial" w:hAnsi="Arial"/>
          <w:b/>
          <w:bCs/>
          <w:color w:val="C13A18"/>
          <w:sz w:val="18"/>
          <w:szCs w:val="18"/>
        </w:rPr>
        <w:t xml:space="preserve">QUESTION GA-087</w:t>
      </w:r>
    </w:p>
    <w:p>
      <w:pPr>
        <w:spacing w:after="140"/>
      </w:pPr>
      <w:r>
        <w:rPr>
          <w:rFonts w:ascii="Arial" w:cs="Arial" w:eastAsia="Arial" w:hAnsi="Arial"/>
          <w:i/>
          <w:iCs/>
          <w:color w:val="16243E"/>
          <w:sz w:val="22"/>
          <w:szCs w:val="22"/>
        </w:rPr>
        <w:t xml:space="preserve">A licensee wants to know the general purpose of the 'entire agreement' or integration clause found in most GAR contracts.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It has no legal effect and is purely decorative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It allows either party to add new verbal terms after signing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It only applies to the price term, not other provisions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It establishes that the written contract represents the full and final agreement, superseding prior verbal or written negotiations not included in the document</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clause carries real legal significance in contract interpretation; it is not merely decorative.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An integration clause works against, not for, adding later verbal terms as part of the binding agreement.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Integration clauses generally apply to the whole agreement, not merely the price term.</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clause confirms the signed writing is the complete, final expression of the parties' agreement, superseding earlier negotiations or side discussions.</w:t>
      </w:r>
    </w:p>
    <w:p>
      <w:pPr>
        <w:spacing w:after="60" w:before="260"/>
      </w:pPr>
      <w:r>
        <w:rPr>
          <w:rFonts w:ascii="Arial" w:cs="Arial" w:eastAsia="Arial" w:hAnsi="Arial"/>
          <w:b/>
          <w:bCs/>
          <w:color w:val="C13A18"/>
          <w:sz w:val="18"/>
          <w:szCs w:val="18"/>
        </w:rPr>
        <w:t xml:space="preserve">QUESTION GA-088</w:t>
      </w:r>
    </w:p>
    <w:p>
      <w:pPr>
        <w:spacing w:after="140"/>
      </w:pPr>
      <w:r>
        <w:rPr>
          <w:rFonts w:ascii="Arial" w:cs="Arial" w:eastAsia="Arial" w:hAnsi="Arial"/>
          <w:i/>
          <w:iCs/>
          <w:color w:val="16243E"/>
          <w:sz w:val="22"/>
          <w:szCs w:val="22"/>
        </w:rPr>
        <w:t xml:space="preserve">A seller signs a contract, but it turns out the seller lacked legal capacity due to being a minor at the time of signing.</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Only the buyer's capacity matters, never the seller's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 contract signed by someone lacking legal capacity, such as a minor, may be voidable, which can affect enforceability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Capacity issues are irrelevant to real estate transactions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contract is fully enforceable regardless of the seller's capacity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Capacity requirements apply to any contracting party, buyer or seller alike.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Contracts involving parties who lack legal capacity, such as minors, are generally voidable, meaning the transaction's enforceability can be challenged.</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Capacity is a fundamental element of contract validity in real estate transactions just as in other contracts.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Lack of legal capacity is a recognized contract defense that can affect enforceability; it is not irrelevant.</w:t>
      </w:r>
    </w:p>
    <w:p>
      <w:pPr>
        <w:spacing w:after="60" w:before="260"/>
      </w:pPr>
      <w:r>
        <w:rPr>
          <w:rFonts w:ascii="Arial" w:cs="Arial" w:eastAsia="Arial" w:hAnsi="Arial"/>
          <w:b/>
          <w:bCs/>
          <w:color w:val="C13A18"/>
          <w:sz w:val="18"/>
          <w:szCs w:val="18"/>
        </w:rPr>
        <w:t xml:space="preserve">QUESTION GA-089</w:t>
      </w:r>
    </w:p>
    <w:p>
      <w:pPr>
        <w:spacing w:after="140"/>
      </w:pPr>
      <w:r>
        <w:rPr>
          <w:rFonts w:ascii="Arial" w:cs="Arial" w:eastAsia="Arial" w:hAnsi="Arial"/>
          <w:i/>
          <w:iCs/>
          <w:color w:val="16243E"/>
          <w:sz w:val="22"/>
          <w:szCs w:val="22"/>
        </w:rPr>
        <w:t xml:space="preserve">A licensee wants to know what 'consideration' means as an essential element of a valid real estate contract.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Consideration is not required for a real estate contract to be valid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Consideration only applies to commercial real estate contracts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Consideration refers to something of value exchanged between the parties, such as the purchase price for the property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Consideration means the parties must be polite and considerate during negotiation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Consideration is one of the essential elements required for a legally valid and enforceable contract.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Consideration is a required element for valid contracts generally, including residential agreements, not just commercial ones.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Consideration is the legal term for the value exchanged between parties, like money for property, and is a required element of a valid contract.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choice confuses the legal term with its everyday, unrelated meaning about courtesy.</w:t>
      </w:r>
    </w:p>
    <w:p>
      <w:pPr>
        <w:spacing w:after="60" w:before="260"/>
      </w:pPr>
      <w:r>
        <w:rPr>
          <w:rFonts w:ascii="Arial" w:cs="Arial" w:eastAsia="Arial" w:hAnsi="Arial"/>
          <w:b/>
          <w:bCs/>
          <w:color w:val="C13A18"/>
          <w:sz w:val="18"/>
          <w:szCs w:val="18"/>
        </w:rPr>
        <w:t xml:space="preserve">QUESTION GA-090</w:t>
      </w:r>
    </w:p>
    <w:p>
      <w:pPr>
        <w:spacing w:after="140"/>
      </w:pPr>
      <w:r>
        <w:rPr>
          <w:rFonts w:ascii="Arial" w:cs="Arial" w:eastAsia="Arial" w:hAnsi="Arial"/>
          <w:i/>
          <w:iCs/>
          <w:color w:val="16243E"/>
          <w:sz w:val="22"/>
          <w:szCs w:val="22"/>
        </w:rPr>
        <w:t xml:space="preserve">A buyer and seller have a fully signed contract, but the buyer later claims they were fraudulently induced to sign based on a material misrepresentation about the property by the seller.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Signing a contract automatically waives any right to later claim fraud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Fraud claims have no effect on an already-signed contract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Only the seller can claim fraud in a real estate transaction</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A valid fraud claim can potentially make the contract voidable and give the defrauded party legal remedies, despite the contract being signed</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Simply signing a contract does not automatically waive a party's right to later assert they were fraudulently induced to sign it.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Fraud is a recognized legal basis that can affect the validity and enforceability of an already-signed contract.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Either party, buyer or seller, can potentially raise a fraud claim if they were misled into the agreement.</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If proven, fraudulent inducement can make a contract voidable and expose the wrongdoer to legal remedies, notwithstanding that signatures were obtained.</w:t>
      </w:r>
    </w:p>
    <w:p>
      <w:r>
        <w:br w:type="page"/>
      </w:r>
    </w:p>
    <w:p>
      <w:pPr>
        <w:pStyle w:val="Heading1"/>
        <w:spacing w:after="60" w:before="200"/>
      </w:pPr>
      <w:r>
        <w:rPr>
          <w:rFonts w:ascii="Arial" w:cs="Arial" w:eastAsia="Arial" w:hAnsi="Arial"/>
          <w:color w:val="16243E"/>
        </w:rPr>
        <w:t xml:space="preserve">BRRETA</w:t>
      </w:r>
    </w:p>
    <w:p>
      <w:pPr>
        <w:pBdr>
          <w:bottom w:val="single" w:color="E5431F" w:sz="8" w:space="4"/>
        </w:pBdr>
        <w:spacing w:after="300"/>
      </w:pPr>
      <w:r>
        <w:rPr>
          <w:rFonts w:ascii="Arial" w:cs="Arial" w:eastAsia="Arial" w:hAnsi="Arial"/>
          <w:i/>
          <w:iCs/>
          <w:color w:val="677081"/>
          <w:sz w:val="18"/>
          <w:szCs w:val="18"/>
        </w:rPr>
        <w:t xml:space="preserve">20 questions in this section</w:t>
      </w:r>
    </w:p>
    <w:p>
      <w:pPr>
        <w:spacing w:after="60" w:before="260"/>
      </w:pPr>
      <w:r>
        <w:rPr>
          <w:rFonts w:ascii="Arial" w:cs="Arial" w:eastAsia="Arial" w:hAnsi="Arial"/>
          <w:b/>
          <w:bCs/>
          <w:color w:val="C13A18"/>
          <w:sz w:val="18"/>
          <w:szCs w:val="18"/>
        </w:rPr>
        <w:t xml:space="preserve">QUESTION GA-091</w:t>
      </w:r>
    </w:p>
    <w:p>
      <w:pPr>
        <w:spacing w:after="140"/>
      </w:pPr>
      <w:r>
        <w:rPr>
          <w:rFonts w:ascii="Arial" w:cs="Arial" w:eastAsia="Arial" w:hAnsi="Arial"/>
          <w:i/>
          <w:iCs/>
          <w:color w:val="16243E"/>
          <w:sz w:val="22"/>
          <w:szCs w:val="22"/>
        </w:rPr>
        <w:t xml:space="preserve">A licensee begins working with a buyer but has not signed a brokerage engagement agreement. Under BRRETA, what is the default relationship status?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licensee automatically becomes the buyer's fiduciary agent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relationship is void until a written agreement exists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Absent a brokerage engagement, the licensee is generally presumed to be working with the person as a customer, not a client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buyer automatically becomes a client of the listing broker instead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Fiduciary agency under BRRETA is not automatic; it generally requires an engagement.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relationship isn't void; it simply defaults to customer status rather than agency.</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BRRETA's default presumption, absent an engagement agreement, is a customer-level relationship rather than full agency.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buyer working with a licensee does not automatically become a client of the listing broker; that would require its own engagement or default arrangement with that specific broker.</w:t>
      </w:r>
    </w:p>
    <w:p>
      <w:pPr>
        <w:spacing w:after="60" w:before="260"/>
      </w:pPr>
      <w:r>
        <w:rPr>
          <w:rFonts w:ascii="Arial" w:cs="Arial" w:eastAsia="Arial" w:hAnsi="Arial"/>
          <w:b/>
          <w:bCs/>
          <w:color w:val="C13A18"/>
          <w:sz w:val="18"/>
          <w:szCs w:val="18"/>
        </w:rPr>
        <w:t xml:space="preserve">QUESTION GA-092</w:t>
      </w:r>
    </w:p>
    <w:p>
      <w:pPr>
        <w:spacing w:after="140"/>
      </w:pPr>
      <w:r>
        <w:rPr>
          <w:rFonts w:ascii="Arial" w:cs="Arial" w:eastAsia="Arial" w:hAnsi="Arial"/>
          <w:i/>
          <w:iCs/>
          <w:color w:val="16243E"/>
          <w:sz w:val="22"/>
          <w:szCs w:val="22"/>
        </w:rPr>
        <w:t xml:space="preserve">A broker wants to know the minimum content that BRRETA requires a written brokerage engagement to address for a client relationship.</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BRRETA specifies certain required elements, such as duties owed, compensation terms, and duration, that a valid brokerage engagement should address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Only the compensation amount needs to be included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BRRETA does not require any specific content in engagement agreements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Engagement agreements are optional under BRRETA and never required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BRRETA outlines core elements like the scope of duties, compensation, and term that a brokerage engagement agreement should address to properly establish an agency relationship.</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Compensation is only one element; duties and duration are also material components.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BRRETA does establish expectations for what a brokerage engagement should cover, so this is not accurate.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Engagement agreements are how a client relationship, with full fiduciary duties, is properly established under BRRETA.</w:t>
      </w:r>
    </w:p>
    <w:p>
      <w:pPr>
        <w:spacing w:after="60" w:before="260"/>
      </w:pPr>
      <w:r>
        <w:rPr>
          <w:rFonts w:ascii="Arial" w:cs="Arial" w:eastAsia="Arial" w:hAnsi="Arial"/>
          <w:b/>
          <w:bCs/>
          <w:color w:val="C13A18"/>
          <w:sz w:val="18"/>
          <w:szCs w:val="18"/>
        </w:rPr>
        <w:t xml:space="preserve">QUESTION GA-093</w:t>
      </w:r>
    </w:p>
    <w:p>
      <w:pPr>
        <w:spacing w:after="140"/>
      </w:pPr>
      <w:r>
        <w:rPr>
          <w:rFonts w:ascii="Arial" w:cs="Arial" w:eastAsia="Arial" w:hAnsi="Arial"/>
          <w:i/>
          <w:iCs/>
          <w:color w:val="16243E"/>
          <w:sz w:val="22"/>
          <w:szCs w:val="22"/>
        </w:rPr>
        <w:t xml:space="preserve">A seller wants to terminate a listing agreement mid-term because they are unhappy with the marketing effort. The agreement does not include an early termination clause.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Terminating without a contractual early-termination right may expose the seller to consequences under the existing agreement, since BRRETA does not override the contract's binding terms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seller can terminate at will with zero consequences since BRRETA guarantees at-will termination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broker must agree in writing before any conversation about termination can occur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BRRETA requires all listing agreements to allow termination at any time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Because the underlying contract remains binding, terminating without a contractual right to do so can expose the seller to consequences like disputes over commission, subject to the specific agreement's terms.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BRRETA does not create a general at-will termination right that overrides a binding listing agreement's terms.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There's no rule requiring pre-approval of a conversation about ending an agreement; it's the actual termination and its consequences that matter.</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BRRETA regulates brokerage relationship disclosures and duties; it does not mandate universal at-will termination.</w:t>
      </w:r>
    </w:p>
    <w:p>
      <w:pPr>
        <w:spacing w:after="60" w:before="260"/>
      </w:pPr>
      <w:r>
        <w:rPr>
          <w:rFonts w:ascii="Arial" w:cs="Arial" w:eastAsia="Arial" w:hAnsi="Arial"/>
          <w:b/>
          <w:bCs/>
          <w:color w:val="C13A18"/>
          <w:sz w:val="18"/>
          <w:szCs w:val="18"/>
        </w:rPr>
        <w:t xml:space="preserve">QUESTION GA-094</w:t>
      </w:r>
    </w:p>
    <w:p>
      <w:pPr>
        <w:spacing w:after="140"/>
      </w:pPr>
      <w:r>
        <w:rPr>
          <w:rFonts w:ascii="Arial" w:cs="Arial" w:eastAsia="Arial" w:hAnsi="Arial"/>
          <w:i/>
          <w:iCs/>
          <w:color w:val="16243E"/>
          <w:sz w:val="22"/>
          <w:szCs w:val="22"/>
        </w:rPr>
        <w:t xml:space="preserve">A licensee wants to know whether BRRETA allows a broker to represent a seller as a client while treating the buyer as a customer in the same transaction.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requires special GREC pre-approval for every transaction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prohibited; both parties must have the same relationship type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is permitted under BRRETA and is one of the recognized brokerage relationship structures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can only happen if both parties are represented by different firms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No case-by-case GREC pre-approval is required for this common arrangement.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BRRETA does not require symmetry; different relationship types for each side is expressly allowed.</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A single broker representing the seller as client while treating the buyer as a customer is a standard, BRRETA-recognized structure.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structure can occur within a single firm too, not only when different firms are involved.</w:t>
      </w:r>
    </w:p>
    <w:p>
      <w:pPr>
        <w:spacing w:after="60" w:before="260"/>
      </w:pPr>
      <w:r>
        <w:rPr>
          <w:rFonts w:ascii="Arial" w:cs="Arial" w:eastAsia="Arial" w:hAnsi="Arial"/>
          <w:b/>
          <w:bCs/>
          <w:color w:val="C13A18"/>
          <w:sz w:val="18"/>
          <w:szCs w:val="18"/>
        </w:rPr>
        <w:t xml:space="preserve">QUESTION GA-095</w:t>
      </w:r>
    </w:p>
    <w:p>
      <w:pPr>
        <w:spacing w:after="140"/>
      </w:pPr>
      <w:r>
        <w:rPr>
          <w:rFonts w:ascii="Arial" w:cs="Arial" w:eastAsia="Arial" w:hAnsi="Arial"/>
          <w:i/>
          <w:iCs/>
          <w:color w:val="16243E"/>
          <w:sz w:val="22"/>
          <w:szCs w:val="22"/>
        </w:rPr>
        <w:t xml:space="preserve">A broker wants to designate two different agents within the same firm to separately represent the buyer and seller as clients in an in-house deal.</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requires the buyer and seller to use different firms instead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not allowed under BRRETA since it is the same firm</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can only happen with GREC's prior written approval for each transaction</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BRRETA specifically allows this structure, known as designated agency, so each agent can fully represent one party without being a dual agent themselves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Designated agency exists so this can happen within the same firm; different firms are not required.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Designated agency is expressly permitted by BRRETA even within a single firm.</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transaction-by-transaction GREC pre-approval requirement for using designated agency, which is a standing, statutorily authorized structure.</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BRRETA created the designated agency framework precisely so each designated agent can fully represent one party's interests without functioning as a dual agent.</w:t>
      </w:r>
    </w:p>
    <w:p>
      <w:pPr>
        <w:spacing w:after="60" w:before="260"/>
      </w:pPr>
      <w:r>
        <w:rPr>
          <w:rFonts w:ascii="Arial" w:cs="Arial" w:eastAsia="Arial" w:hAnsi="Arial"/>
          <w:b/>
          <w:bCs/>
          <w:color w:val="C13A18"/>
          <w:sz w:val="18"/>
          <w:szCs w:val="18"/>
        </w:rPr>
        <w:t xml:space="preserve">QUESTION GA-096</w:t>
      </w:r>
    </w:p>
    <w:p>
      <w:pPr>
        <w:spacing w:after="140"/>
      </w:pPr>
      <w:r>
        <w:rPr>
          <w:rFonts w:ascii="Arial" w:cs="Arial" w:eastAsia="Arial" w:hAnsi="Arial"/>
          <w:i/>
          <w:iCs/>
          <w:color w:val="16243E"/>
          <w:sz w:val="22"/>
          <w:szCs w:val="22"/>
        </w:rPr>
        <w:t xml:space="preserve">A licensee is unsure whether BRRETA requires a specific agency disclosure to be given to a customer at first substantive contact.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BRRETA generally contemplates disclosure of the type of brokerage relationship, which helps customers understand they are not receiving full agency representation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No disclosure of any kind is ever required for customers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Disclosure is only required in commercial transactions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Disclosure must be given only after a contract is signed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BRRETA's structure is built around parties understanding what type of relationship they have, which supports timely disclosure of the brokerage relationship type.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Some disclosure obligations do exist under BRRETA's framework even for non-client relationships.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BRRETA's disclosure principles apply broadly to residential transactions covered by the act, not just commercial deals.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Waiting until after contract signing would defeat the purpose of helping the party understand the relationship during the transaction, so earlier disclosure is the better and expected practice.</w:t>
      </w:r>
    </w:p>
    <w:p>
      <w:pPr>
        <w:spacing w:after="60" w:before="260"/>
      </w:pPr>
      <w:r>
        <w:rPr>
          <w:rFonts w:ascii="Arial" w:cs="Arial" w:eastAsia="Arial" w:hAnsi="Arial"/>
          <w:b/>
          <w:bCs/>
          <w:color w:val="C13A18"/>
          <w:sz w:val="18"/>
          <w:szCs w:val="18"/>
        </w:rPr>
        <w:t xml:space="preserve">QUESTION GA-097</w:t>
      </w:r>
    </w:p>
    <w:p>
      <w:pPr>
        <w:spacing w:after="140"/>
      </w:pPr>
      <w:r>
        <w:rPr>
          <w:rFonts w:ascii="Arial" w:cs="Arial" w:eastAsia="Arial" w:hAnsi="Arial"/>
          <w:i/>
          <w:iCs/>
          <w:color w:val="16243E"/>
          <w:sz w:val="22"/>
          <w:szCs w:val="22"/>
        </w:rPr>
        <w:t xml:space="preserve">A buyer working with an agent under a signed buyer brokerage agreement wants to know if the agent can also collect compensation from the seller at closing.</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automatically makes the agent a dual agent for the seller too</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This is generally permitted; compensation source does not by itself determine whether an agency relationship exists, as long as it's properly disclosed and consistent with the agreement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buyer must always personally pay the agent directly with no seller contribution allowed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never permitted under BRRETA</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Receiving compensation from a source connected to the seller does not automatically create a dual agency relationship with the seller.</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Under BRRETA, who ultimately funds the compensation does not itself change who the agent represents; the buyer's agent remains the buyer's agent as long as it's properly disclosed and consistent with their agreement.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rule requiring the buyer to personally fund 100% of compensation with no contribution from the seller side.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Receiving compensation connected to the seller side is a common, permitted arrangement, not a blanket prohibition.</w:t>
      </w:r>
    </w:p>
    <w:p>
      <w:pPr>
        <w:spacing w:after="60" w:before="260"/>
      </w:pPr>
      <w:r>
        <w:rPr>
          <w:rFonts w:ascii="Arial" w:cs="Arial" w:eastAsia="Arial" w:hAnsi="Arial"/>
          <w:b/>
          <w:bCs/>
          <w:color w:val="C13A18"/>
          <w:sz w:val="18"/>
          <w:szCs w:val="18"/>
        </w:rPr>
        <w:t xml:space="preserve">QUESTION GA-098</w:t>
      </w:r>
    </w:p>
    <w:p>
      <w:pPr>
        <w:spacing w:after="140"/>
      </w:pPr>
      <w:r>
        <w:rPr>
          <w:rFonts w:ascii="Arial" w:cs="Arial" w:eastAsia="Arial" w:hAnsi="Arial"/>
          <w:i/>
          <w:iCs/>
          <w:color w:val="16243E"/>
          <w:sz w:val="22"/>
          <w:szCs w:val="22"/>
        </w:rPr>
        <w:t xml:space="preserve">A licensee wonders whether BRRETA applies to all types of real property transactions in Georgia or has a narrower scope.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BRRETA applies only to rental and lease transactions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BRRETA specifically governs real estate brokerage relationships for real property transactions in Georgia</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BRRETA applies to every type of contract in Georgia, real estate or otherwise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BRRETA only applies to transactions over $1,000,000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BRRETA's scope covers real estate brokerage relationships broadly, not solely rentals and leases.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BRRETA, the Brokerage Relationships in Real Estate Transactions Act, is specifically focused on defining and governing real estate brokerage relationships in Georgia.</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BRRETA is specific to real estate brokerage relationships, not general contract law across all industries.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There is no dollar-value threshold limiting BRRETA's application.</w:t>
      </w:r>
    </w:p>
    <w:p>
      <w:pPr>
        <w:spacing w:after="60" w:before="260"/>
      </w:pPr>
      <w:r>
        <w:rPr>
          <w:rFonts w:ascii="Arial" w:cs="Arial" w:eastAsia="Arial" w:hAnsi="Arial"/>
          <w:b/>
          <w:bCs/>
          <w:color w:val="C13A18"/>
          <w:sz w:val="18"/>
          <w:szCs w:val="18"/>
        </w:rPr>
        <w:t xml:space="preserve">QUESTION GA-099</w:t>
      </w:r>
    </w:p>
    <w:p>
      <w:pPr>
        <w:spacing w:after="140"/>
      </w:pPr>
      <w:r>
        <w:rPr>
          <w:rFonts w:ascii="Arial" w:cs="Arial" w:eastAsia="Arial" w:hAnsi="Arial"/>
          <w:i/>
          <w:iCs/>
          <w:color w:val="16243E"/>
          <w:sz w:val="22"/>
          <w:szCs w:val="22"/>
        </w:rPr>
        <w:t xml:space="preserve">A broker wants to know whether BRRETA permits a licensee to represent a party without any written agreement at all, on an informal basis.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Written agreements are required for every single interaction with a member of the public</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Only sellers can be assisted without a written agreement; buyers always need one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BRRETA generally allows customer-level assistance without a written agreement, but full client representation is best and often practically required to be established through a written engagement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No representation of any kind is possible without a written agreement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Not every interaction requires a written agreement; simple customer-level assistance can occur without one.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distinction is not limited to sellers; buyers can also be assisted at the customer level without a written agreement.</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reflects BRRETA's structure: informal customer-level help doesn't require a written engagement, while a true agency/client relationship is best formalized in writing, and compensation protections often depend on it.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Assistance at the customer level can occur without a formal written agreement; it's client-level agency that typically calls for a written engagement.</w:t>
      </w:r>
    </w:p>
    <w:p>
      <w:pPr>
        <w:spacing w:after="60" w:before="260"/>
      </w:pPr>
      <w:r>
        <w:rPr>
          <w:rFonts w:ascii="Arial" w:cs="Arial" w:eastAsia="Arial" w:hAnsi="Arial"/>
          <w:b/>
          <w:bCs/>
          <w:color w:val="C13A18"/>
          <w:sz w:val="18"/>
          <w:szCs w:val="18"/>
        </w:rPr>
        <w:t xml:space="preserve">QUESTION GA-100</w:t>
      </w:r>
    </w:p>
    <w:p>
      <w:pPr>
        <w:spacing w:after="140"/>
      </w:pPr>
      <w:r>
        <w:rPr>
          <w:rFonts w:ascii="Arial" w:cs="Arial" w:eastAsia="Arial" w:hAnsi="Arial"/>
          <w:i/>
          <w:iCs/>
          <w:color w:val="16243E"/>
          <w:sz w:val="22"/>
          <w:szCs w:val="22"/>
        </w:rPr>
        <w:t xml:space="preserve">A licensee wants to understand whether BRRETA shields a licensee from liability for their own negligent misrepresentation made to a customer.</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BRRETA does not eliminate liability for a licensee's own negligent or fraudulent misrepresentations; the honesty and fair dealing duty still applies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BRRETA eliminates liability only for buyers' agents, not listing agents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BRRETA only protects sellers, never licensees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BRRETA provides complete immunity from all liability regardless of licensee conduct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The duty of honesty and fair dealing owed to customers under BRRETA means a licensee can still be held liable for negligent or fraudulent misrepresentation, notwithstanding the customer relationship.</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no distinction in this rule between buyer's agents and listing agents; both remain accountable for their own misrepresentations.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BRRETA is not structured around protecting sellers as a class; it governs brokerage relationships broadly.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BRRETA is not a blanket immunity shield; licensees remain accountable for their own misrepresentations.</w:t>
      </w:r>
    </w:p>
    <w:p>
      <w:pPr>
        <w:spacing w:after="60" w:before="260"/>
      </w:pPr>
      <w:r>
        <w:rPr>
          <w:rFonts w:ascii="Arial" w:cs="Arial" w:eastAsia="Arial" w:hAnsi="Arial"/>
          <w:b/>
          <w:bCs/>
          <w:color w:val="C13A18"/>
          <w:sz w:val="18"/>
          <w:szCs w:val="18"/>
        </w:rPr>
        <w:t xml:space="preserve">QUESTION GA-101</w:t>
      </w:r>
    </w:p>
    <w:p>
      <w:pPr>
        <w:spacing w:after="140"/>
      </w:pPr>
      <w:r>
        <w:rPr>
          <w:rFonts w:ascii="Arial" w:cs="Arial" w:eastAsia="Arial" w:hAnsi="Arial"/>
          <w:i/>
          <w:iCs/>
          <w:color w:val="16243E"/>
          <w:sz w:val="22"/>
          <w:szCs w:val="22"/>
        </w:rPr>
        <w:t xml:space="preserve">A seller wants to know if, under BRRETA, an agent representing them must disclose known material adverse facts about the property to a customer-level buyer.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Disclosure to customers is entirely at the agent's discretion with no legal requirement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BRRETA generally requires disclosure of known adverse material facts to customers as well, even though full fiduciary duties are reserved for clients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disclosure obligation only applies if the buyer specifically hires an attorney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seller's agent has no disclosure duty to a customer-level buyer whatsoever</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is a legal requirement under BRRETA's framework, not simply left to the agent's personal discretion.</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BRRETA's baseline duties toward customers include disclosing known adverse material facts, distinguishing this from the higher, additional duties owed only to clients.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requirement tied to whether the buyer hires an attorney; the disclosure duty exists independent of that.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Even a customer-level relationship is not duty-free; disclosure of known adverse material facts is generally still required.</w:t>
      </w:r>
    </w:p>
    <w:p>
      <w:pPr>
        <w:spacing w:after="60" w:before="260"/>
      </w:pPr>
      <w:r>
        <w:rPr>
          <w:rFonts w:ascii="Arial" w:cs="Arial" w:eastAsia="Arial" w:hAnsi="Arial"/>
          <w:b/>
          <w:bCs/>
          <w:color w:val="C13A18"/>
          <w:sz w:val="18"/>
          <w:szCs w:val="18"/>
        </w:rPr>
        <w:t xml:space="preserve">QUESTION GA-102</w:t>
      </w:r>
    </w:p>
    <w:p>
      <w:pPr>
        <w:spacing w:after="140"/>
      </w:pPr>
      <w:r>
        <w:rPr>
          <w:rFonts w:ascii="Arial" w:cs="Arial" w:eastAsia="Arial" w:hAnsi="Arial"/>
          <w:i/>
          <w:iCs/>
          <w:color w:val="16243E"/>
          <w:sz w:val="22"/>
          <w:szCs w:val="22"/>
        </w:rPr>
        <w:t xml:space="preserve">A licensee wants to know whether BRRETA permits a broker to limit or modify some of the statutory duties owed to a client through the written engagement agreement.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Only GREC can modify statutory duties, never the parties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BRRETA duties can never be modified in any way by agreement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BRRETA allows certain aspects of the relationship and duties to be defined and, to some extent, modified within the written brokerage engagement, subject to statutory limits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Modifying any duty automatically voids the entire engagement agreement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statute itself, not GREC case-by-case, sets the framework for what can be defined by agreement.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BRRETA does contemplate that the specific written engagement can shape aspects of the relationship, so an absolute 'never' is inaccurate.</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BRRETA's framework allows the brokerage engagement to define and, within statutory limits, adjust elements of the relationship and duties owed.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Including negotiated terms within statutory limits does not automatically void the whole engagement agreement.</w:t>
      </w:r>
    </w:p>
    <w:p>
      <w:pPr>
        <w:spacing w:after="60" w:before="260"/>
      </w:pPr>
      <w:r>
        <w:rPr>
          <w:rFonts w:ascii="Arial" w:cs="Arial" w:eastAsia="Arial" w:hAnsi="Arial"/>
          <w:b/>
          <w:bCs/>
          <w:color w:val="C13A18"/>
          <w:sz w:val="18"/>
          <w:szCs w:val="18"/>
        </w:rPr>
        <w:t xml:space="preserve">QUESTION GA-103</w:t>
      </w:r>
    </w:p>
    <w:p>
      <w:pPr>
        <w:spacing w:after="140"/>
      </w:pPr>
      <w:r>
        <w:rPr>
          <w:rFonts w:ascii="Arial" w:cs="Arial" w:eastAsia="Arial" w:hAnsi="Arial"/>
          <w:i/>
          <w:iCs/>
          <w:color w:val="16243E"/>
          <w:sz w:val="22"/>
          <w:szCs w:val="22"/>
        </w:rPr>
        <w:t xml:space="preserve">A licensee is unsure whether BRRETA requires brokerage engagement agreements to specify how and when the agreement terminates.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BRRETA prohibits any termination provisions in these agreements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Termination terms are irrelevant and never need to be addressed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Only listing agreements need termination terms, not buyer agreements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Termination provisions, including duration and how the relationship ends, are an important and expected component of a brokerage engagement agreement</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BRRETA does not prohibit termination provisions; it contemplates agreements having defined terms including how they end.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Termination terms are a meaningful part of a properly structured engagement, not an irrelevant detail.</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Both listing and buyer agreements benefit from and typically include termination provisions; this is not limited to one type.</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A well-drafted brokerage engagement agreement should address its duration and termination, consistent with BRRETA's framework for defining the relationship.</w:t>
      </w:r>
    </w:p>
    <w:p>
      <w:pPr>
        <w:spacing w:after="60" w:before="260"/>
      </w:pPr>
      <w:r>
        <w:rPr>
          <w:rFonts w:ascii="Arial" w:cs="Arial" w:eastAsia="Arial" w:hAnsi="Arial"/>
          <w:b/>
          <w:bCs/>
          <w:color w:val="C13A18"/>
          <w:sz w:val="18"/>
          <w:szCs w:val="18"/>
        </w:rPr>
        <w:t xml:space="preserve">QUESTION GA-104</w:t>
      </w:r>
    </w:p>
    <w:p>
      <w:pPr>
        <w:spacing w:after="140"/>
      </w:pPr>
      <w:r>
        <w:rPr>
          <w:rFonts w:ascii="Arial" w:cs="Arial" w:eastAsia="Arial" w:hAnsi="Arial"/>
          <w:i/>
          <w:iCs/>
          <w:color w:val="16243E"/>
          <w:sz w:val="22"/>
          <w:szCs w:val="22"/>
        </w:rPr>
        <w:t xml:space="preserve">A licensee wants to know if BRRETA changes a licensee's duty to comply with fair housing laws when working with a customer instead of a client.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BRRETA replaces fair housing law entirely for real estate licensees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Fair housing law compliance is required regardless of whether the person is a client or a customer; BRRETA's relationship categories do not create a fair housing exemption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Fair housing duties apply only to client relationships, not customer relationships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Fair housing obligations under BRRETA only apply to sellers, not buyers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BRRETA governs brokerage relationships and does not replace or override separate fair housing law obligations.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Fair housing laws operate independently of BRRETA's client/customer distinction, so licensees must comply regardless of which relationship applies.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Fair housing obligations are not limited to client relationships; they apply broadly regardless of relationship type.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Fair housing protections apply to how licensees treat both buyers and sellers, not one side exclusively.</w:t>
      </w:r>
    </w:p>
    <w:p>
      <w:pPr>
        <w:spacing w:after="60" w:before="260"/>
      </w:pPr>
      <w:r>
        <w:rPr>
          <w:rFonts w:ascii="Arial" w:cs="Arial" w:eastAsia="Arial" w:hAnsi="Arial"/>
          <w:b/>
          <w:bCs/>
          <w:color w:val="C13A18"/>
          <w:sz w:val="18"/>
          <w:szCs w:val="18"/>
        </w:rPr>
        <w:t xml:space="preserve">QUESTION GA-105</w:t>
      </w:r>
    </w:p>
    <w:p>
      <w:pPr>
        <w:spacing w:after="140"/>
      </w:pPr>
      <w:r>
        <w:rPr>
          <w:rFonts w:ascii="Arial" w:cs="Arial" w:eastAsia="Arial" w:hAnsi="Arial"/>
          <w:i/>
          <w:iCs/>
          <w:color w:val="16243E"/>
          <w:sz w:val="22"/>
          <w:szCs w:val="22"/>
        </w:rPr>
        <w:t xml:space="preserve">A licensee wants to know what happens under BRRETA if a broker fails to properly disclose the type of brokerage relationship to a party in the transaction.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kind of failure automatically voids every contract in the transaction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Nothing happens; disclosure failures under BRRETA carry no consequence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Only the seller can be harmed by this kind of failure, never the buyer</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Failing to properly disclose the brokerage relationship type can expose the licensee to regulatory discipline and potential liability</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disclosure failure does not automatically void the underlying purchase contract; it primarily creates licensee-level regulatory and liability exposure.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Improper disclosure is not consequence-free; it can create both regulatory and civil exposure.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Either party in a transaction, buyer or seller, could potentially be affected by a failure to properly disclose the relationship.</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Failure to properly disclose the type of brokerage relationship can lead to GREC discipline and potential legal consequences for the licensee.</w:t>
      </w:r>
    </w:p>
    <w:p>
      <w:pPr>
        <w:spacing w:after="60" w:before="260"/>
      </w:pPr>
      <w:r>
        <w:rPr>
          <w:rFonts w:ascii="Arial" w:cs="Arial" w:eastAsia="Arial" w:hAnsi="Arial"/>
          <w:b/>
          <w:bCs/>
          <w:color w:val="C13A18"/>
          <w:sz w:val="18"/>
          <w:szCs w:val="18"/>
        </w:rPr>
        <w:t xml:space="preserve">QUESTION GA-106</w:t>
      </w:r>
    </w:p>
    <w:p>
      <w:pPr>
        <w:spacing w:after="140"/>
      </w:pPr>
      <w:r>
        <w:rPr>
          <w:rFonts w:ascii="Arial" w:cs="Arial" w:eastAsia="Arial" w:hAnsi="Arial"/>
          <w:i/>
          <w:iCs/>
          <w:color w:val="16243E"/>
          <w:sz w:val="22"/>
          <w:szCs w:val="22"/>
        </w:rPr>
        <w:t xml:space="preserve">A licensee wants to know whether a subagency relationship, where a cooperating broker represents the seller too, is still commonly used in Georgia under BRRETA's modern framework.</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Subagency has been completely abolished and cannot legally exist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Subagency is the only relationship type BRRETA allows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Subagency automatically applies to every cooperating broker unless they opt out in writing</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Subagency is technically possible under BRRETA but has become far less common as buyer agency and designated agency have become standard practice</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Subagency has not been legally abolished outright, even though it is rarely used in current practice.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BRRETA recognizes multiple relationship types; subagency is not the only option.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Subagency is not the automatic default; buyer agency or designated agency structures are far more typical today, and any relationship type should be properly established, not defaulted into.</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While technically available under the statutory framework, subagency is rarely used today because buyer agency and designated agency are now the dominant, more buyer-protective structures.</w:t>
      </w:r>
    </w:p>
    <w:p>
      <w:pPr>
        <w:spacing w:after="60" w:before="260"/>
      </w:pPr>
      <w:r>
        <w:rPr>
          <w:rFonts w:ascii="Arial" w:cs="Arial" w:eastAsia="Arial" w:hAnsi="Arial"/>
          <w:b/>
          <w:bCs/>
          <w:color w:val="C13A18"/>
          <w:sz w:val="18"/>
          <w:szCs w:val="18"/>
        </w:rPr>
        <w:t xml:space="preserve">QUESTION GA-107</w:t>
      </w:r>
    </w:p>
    <w:p>
      <w:pPr>
        <w:spacing w:after="140"/>
      </w:pPr>
      <w:r>
        <w:rPr>
          <w:rFonts w:ascii="Arial" w:cs="Arial" w:eastAsia="Arial" w:hAnsi="Arial"/>
          <w:i/>
          <w:iCs/>
          <w:color w:val="16243E"/>
          <w:sz w:val="22"/>
          <w:szCs w:val="22"/>
        </w:rPr>
        <w:t xml:space="preserve">A broker wants to know if BRRETA permits variable rate compensation, where a listing broker offers different compensation to cooperating brokers depending on which one brings the buyer.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Variable rate compensation is illegal under BRRETA in all situations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Variable compensation is permitted only for commercial transactions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Variable rate compensation is addressed under Georgia law and generally must be disclosed, since it can create potential conflicts of interest for cooperating brokers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BRRETA has no rules at all regarding compensation structures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Variable rate compensation is not flatly illegal; the concern is disclosure due to potential conflicts of interest.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disclosure concern applies broadly, not solely to commercial transactions.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Because variable compensation can influence which properties a cooperating broker shows, Georgia law generally requires disclosure of such arrangements to protect consumers from steering influenced by pay differences.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BRRETA and related Georgia real estate law do address compensation-related disclosure concerns, so this is not an unregulated area.</w:t>
      </w:r>
    </w:p>
    <w:p>
      <w:pPr>
        <w:spacing w:after="60" w:before="260"/>
      </w:pPr>
      <w:r>
        <w:rPr>
          <w:rFonts w:ascii="Arial" w:cs="Arial" w:eastAsia="Arial" w:hAnsi="Arial"/>
          <w:b/>
          <w:bCs/>
          <w:color w:val="C13A18"/>
          <w:sz w:val="18"/>
          <w:szCs w:val="18"/>
        </w:rPr>
        <w:t xml:space="preserve">QUESTION GA-108</w:t>
      </w:r>
    </w:p>
    <w:p>
      <w:pPr>
        <w:spacing w:after="140"/>
      </w:pPr>
      <w:r>
        <w:rPr>
          <w:rFonts w:ascii="Arial" w:cs="Arial" w:eastAsia="Arial" w:hAnsi="Arial"/>
          <w:i/>
          <w:iCs/>
          <w:color w:val="16243E"/>
          <w:sz w:val="22"/>
          <w:szCs w:val="22"/>
        </w:rPr>
        <w:t xml:space="preserve">A licensee wants to know whether BRRETA governs the relationship between a broker and an affiliated licensee, or only the relationship between the brokerage and the public.</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BRRETA primarily addresses the brokerage relationship between the firm/licensee and members of the public (buyers and sellers), while broker-licensee affiliation is governed by separate license law provisions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BRRETA governs both types of relationships equally in identical detail</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BRRETA only applies to relationships between two competing brokerage firms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BRRETA has nothing to do with real estate brokerage relationships at all</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BRRETA's core focus is the brokerage relationship with clients and customers, while separate license law and GREC rules govern broker-salesperson affiliation and supervision.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These are addressed by different bodies of Georgia real estate law, not treated identically under one statute.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BRRETA is not limited to relationships between competing firms; its core focus is broker-consumer relationships.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BRRETA's very name and purpose concern real estate brokerage relationships, so this option is incorrect.</w:t>
      </w:r>
    </w:p>
    <w:p>
      <w:pPr>
        <w:spacing w:after="60" w:before="260"/>
      </w:pPr>
      <w:r>
        <w:rPr>
          <w:rFonts w:ascii="Arial" w:cs="Arial" w:eastAsia="Arial" w:hAnsi="Arial"/>
          <w:b/>
          <w:bCs/>
          <w:color w:val="C13A18"/>
          <w:sz w:val="18"/>
          <w:szCs w:val="18"/>
        </w:rPr>
        <w:t xml:space="preserve">QUESTION GA-109</w:t>
      </w:r>
    </w:p>
    <w:p>
      <w:pPr>
        <w:spacing w:after="140"/>
      </w:pPr>
      <w:r>
        <w:rPr>
          <w:rFonts w:ascii="Arial" w:cs="Arial" w:eastAsia="Arial" w:hAnsi="Arial"/>
          <w:i/>
          <w:iCs/>
          <w:color w:val="16243E"/>
          <w:sz w:val="22"/>
          <w:szCs w:val="22"/>
        </w:rPr>
        <w:t xml:space="preserve">A licensee wants to know if a customer, as opposed to a client, has any right to expect the licensee will safeguard confidential information the customer shares.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Confidentiality protections apply only to seller customers, never buyer customers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BRRETA's baseline duties to customers generally do not include the broader confidentiality protections reserved for clients, so customers should be cautious about sharing sensitive negotiating information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Customers are automatically entitled to the full confidentiality duty owed to clients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There is no legal difference between customers and clients regarding confidentiality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distinction applies to both buyer and seller customers symmetrically; it is not limited to one side.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Because customers do not receive full fiduciary protections, they should be aware that sensitive information shared with a licensee who is not their agent may not be kept confidential from the other side.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Full confidentiality protection is one of the key duties reserved for the higher, client-level relationship, not automatically extended to customers.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is precisely the meaningful legal distinction BRRETA draws between client and customer relationships.</w:t>
      </w:r>
    </w:p>
    <w:p>
      <w:pPr>
        <w:spacing w:after="60" w:before="260"/>
      </w:pPr>
      <w:r>
        <w:rPr>
          <w:rFonts w:ascii="Arial" w:cs="Arial" w:eastAsia="Arial" w:hAnsi="Arial"/>
          <w:b/>
          <w:bCs/>
          <w:color w:val="C13A18"/>
          <w:sz w:val="18"/>
          <w:szCs w:val="18"/>
        </w:rPr>
        <w:t xml:space="preserve">QUESTION GA-110</w:t>
      </w:r>
    </w:p>
    <w:p>
      <w:pPr>
        <w:spacing w:after="140"/>
      </w:pPr>
      <w:r>
        <w:rPr>
          <w:rFonts w:ascii="Arial" w:cs="Arial" w:eastAsia="Arial" w:hAnsi="Arial"/>
          <w:i/>
          <w:iCs/>
          <w:color w:val="16243E"/>
          <w:sz w:val="22"/>
          <w:szCs w:val="22"/>
        </w:rPr>
        <w:t xml:space="preserve">A first-time home seller asks a licensee to explain, in plain terms, the core purpose of BRRETA.</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BRRETA exists solely to regulate property management companies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BRRETA exists to replace the role of the Georgia Real Estate Commission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BRRETA exists to set commission rates for all Georgia real estate transactions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BRRETA exists to define and clarify the types of brokerage relationships available in Georgia and the duties owed under each, so consumers understand who represents whom</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BRRETA is not focused specifically on property management companies; its scope is broader brokerage relationships in real estate transactions.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BRRETA works alongside GREC's regulatory authority; it does not replace or eliminate the Commission's role.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Commission rates are a matter of private negotiation, not something BRRETA sets or regulates.</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BRRETA's central purpose is to define brokerage relationship types, such as client and customer, and the duties tied to each, so consumers know what to expect from a licensee.</w:t>
      </w:r>
    </w:p>
    <w:p>
      <w:r>
        <w:br w:type="page"/>
      </w:r>
    </w:p>
    <w:p>
      <w:pPr>
        <w:pStyle w:val="Heading1"/>
        <w:spacing w:after="60" w:before="200"/>
      </w:pPr>
      <w:r>
        <w:rPr>
          <w:rFonts w:ascii="Arial" w:cs="Arial" w:eastAsia="Arial" w:hAnsi="Arial"/>
          <w:color w:val="16243E"/>
        </w:rPr>
        <w:t xml:space="preserve">Fair Housing</w:t>
      </w:r>
    </w:p>
    <w:p>
      <w:pPr>
        <w:pBdr>
          <w:bottom w:val="single" w:color="E5431F" w:sz="8" w:space="4"/>
        </w:pBdr>
        <w:spacing w:after="300"/>
      </w:pPr>
      <w:r>
        <w:rPr>
          <w:rFonts w:ascii="Arial" w:cs="Arial" w:eastAsia="Arial" w:hAnsi="Arial"/>
          <w:i/>
          <w:iCs/>
          <w:color w:val="677081"/>
          <w:sz w:val="18"/>
          <w:szCs w:val="18"/>
        </w:rPr>
        <w:t xml:space="preserve">20 questions in this section</w:t>
      </w:r>
    </w:p>
    <w:p>
      <w:pPr>
        <w:spacing w:after="60" w:before="260"/>
      </w:pPr>
      <w:r>
        <w:rPr>
          <w:rFonts w:ascii="Arial" w:cs="Arial" w:eastAsia="Arial" w:hAnsi="Arial"/>
          <w:b/>
          <w:bCs/>
          <w:color w:val="C13A18"/>
          <w:sz w:val="18"/>
          <w:szCs w:val="18"/>
        </w:rPr>
        <w:t xml:space="preserve">QUESTION GA-111</w:t>
      </w:r>
    </w:p>
    <w:p>
      <w:pPr>
        <w:spacing w:after="140"/>
      </w:pPr>
      <w:r>
        <w:rPr>
          <w:rFonts w:ascii="Arial" w:cs="Arial" w:eastAsia="Arial" w:hAnsi="Arial"/>
          <w:i/>
          <w:iCs/>
          <w:color w:val="16243E"/>
          <w:sz w:val="22"/>
          <w:szCs w:val="22"/>
        </w:rPr>
        <w:t xml:space="preserve">A landlord tells a licensee to only show a rental unit to applicants without young children, citing noise concerns from other tenants.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violates fair housing law, since familial status is a protected class and this amounts to illegal steering/refusal based on it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acceptable only in buildings with fewer than four units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acceptable if disclosed to all applicants up front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acceptable since it addresses a legitimate noise concern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Familial status, having children under 18, is a protected class under the Fair Housing Act, and refusing or restricting housing based on it is illegal discrimination.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no blanket small-building exemption that allows discrimination based on familial status in this way.</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Disclosing a discriminatory policy up front does not make it legal; it is still prohibited discrimination.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business justification like noise does not excuse discrimination based on a federally protected class.</w:t>
      </w:r>
    </w:p>
    <w:p>
      <w:pPr>
        <w:spacing w:after="60" w:before="260"/>
      </w:pPr>
      <w:r>
        <w:rPr>
          <w:rFonts w:ascii="Arial" w:cs="Arial" w:eastAsia="Arial" w:hAnsi="Arial"/>
          <w:b/>
          <w:bCs/>
          <w:color w:val="C13A18"/>
          <w:sz w:val="18"/>
          <w:szCs w:val="18"/>
        </w:rPr>
        <w:t xml:space="preserve">QUESTION GA-112</w:t>
      </w:r>
    </w:p>
    <w:p>
      <w:pPr>
        <w:spacing w:after="140"/>
      </w:pPr>
      <w:r>
        <w:rPr>
          <w:rFonts w:ascii="Arial" w:cs="Arial" w:eastAsia="Arial" w:hAnsi="Arial"/>
          <w:i/>
          <w:iCs/>
          <w:color w:val="16243E"/>
          <w:sz w:val="22"/>
          <w:szCs w:val="22"/>
        </w:rPr>
        <w:t xml:space="preserve">A licensee is asked by a buyer client to only show homes in neighborhoods with a particular racial composition.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licensee should comply since it is the client's stated preference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licensee can comply as long as no written record is kept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The licensee must refuse, since steering buyers based on race or the racial composition of a neighborhood is illegal discrimination under fair housing law</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licensee can comply only if the client is also a member of that racial group</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client's preference does not authorize a licensee to engage in illegal racial steering.</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Keeping no written record does not make an illegal steering practice legal; the underlying conduct is still discriminatory.</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Fair housing law prohibits steering based on race, and a licensee must decline to direct clients toward or away from areas based on racial composition, regardless of client wishes.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client's own race does not create an exception allowing the licensee to engage in racial steering.</w:t>
      </w:r>
    </w:p>
    <w:p>
      <w:pPr>
        <w:spacing w:after="60" w:before="260"/>
      </w:pPr>
      <w:r>
        <w:rPr>
          <w:rFonts w:ascii="Arial" w:cs="Arial" w:eastAsia="Arial" w:hAnsi="Arial"/>
          <w:b/>
          <w:bCs/>
          <w:color w:val="C13A18"/>
          <w:sz w:val="18"/>
          <w:szCs w:val="18"/>
        </w:rPr>
        <w:t xml:space="preserve">QUESTION GA-113</w:t>
      </w:r>
    </w:p>
    <w:p>
      <w:pPr>
        <w:spacing w:after="140"/>
      </w:pPr>
      <w:r>
        <w:rPr>
          <w:rFonts w:ascii="Arial" w:cs="Arial" w:eastAsia="Arial" w:hAnsi="Arial"/>
          <w:i/>
          <w:iCs/>
          <w:color w:val="16243E"/>
          <w:sz w:val="22"/>
          <w:szCs w:val="22"/>
        </w:rPr>
        <w:t xml:space="preserve">A seller instructs their listing agent not to accept offers from buyers who need a wheelchair-accessible entrance, assuming they wouldn't want the home anyway.</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agent should follow the seller's instruction since it is the seller's property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acceptable if the seller is elderly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acceptable if the home has structural limitations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This instruction is discriminatory based on disability, a protected class, and the agent should not implement it</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An agent cannot follow instructions that would require implementing illegal discrimination, even at a client's direction.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seller's own age or status does not create an exception to fair housing protections for buyers.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Structural characteristics of the home do not create a legal basis to categorically refuse buyers based on disability.</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Disability is a protected class under fair housing law, and refusing to consider offers based on an assumption about accessibility needs is illegal discriminatory conduct.</w:t>
      </w:r>
    </w:p>
    <w:p>
      <w:pPr>
        <w:spacing w:after="60" w:before="260"/>
      </w:pPr>
      <w:r>
        <w:rPr>
          <w:rFonts w:ascii="Arial" w:cs="Arial" w:eastAsia="Arial" w:hAnsi="Arial"/>
          <w:b/>
          <w:bCs/>
          <w:color w:val="C13A18"/>
          <w:sz w:val="18"/>
          <w:szCs w:val="18"/>
        </w:rPr>
        <w:t xml:space="preserve">QUESTION GA-114</w:t>
      </w:r>
    </w:p>
    <w:p>
      <w:pPr>
        <w:spacing w:after="140"/>
      </w:pPr>
      <w:r>
        <w:rPr>
          <w:rFonts w:ascii="Arial" w:cs="Arial" w:eastAsia="Arial" w:hAnsi="Arial"/>
          <w:i/>
          <w:iCs/>
          <w:color w:val="16243E"/>
          <w:sz w:val="22"/>
          <w:szCs w:val="22"/>
        </w:rPr>
        <w:t xml:space="preserve">A licensee places an advertisement stating a property is 'perfect for a young professional couple, no kids.'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acceptable marketing language meant to attract a target demographic</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This violates fair housing advertising rules by expressing a preference or limitation based on familial status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acceptable for rental properties but not for sales listings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acceptable as long as it doesn't mention race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Targeting demographic language like this is exactly the kind of statement fair housing advertising rules prohibit.</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Advertising cannot express a preference, limitation, or exclusion based on protected classes, including familial status, even indirectly through phrases like 'no kids.'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advertising restriction applies to both rental and sales advertising, not one exclusively.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Avoiding race-based language does not cure a separate violation involving familial status.</w:t>
      </w:r>
    </w:p>
    <w:p>
      <w:pPr>
        <w:spacing w:after="60" w:before="260"/>
      </w:pPr>
      <w:r>
        <w:rPr>
          <w:rFonts w:ascii="Arial" w:cs="Arial" w:eastAsia="Arial" w:hAnsi="Arial"/>
          <w:b/>
          <w:bCs/>
          <w:color w:val="C13A18"/>
          <w:sz w:val="18"/>
          <w:szCs w:val="18"/>
        </w:rPr>
        <w:t xml:space="preserve">QUESTION GA-115</w:t>
      </w:r>
    </w:p>
    <w:p>
      <w:pPr>
        <w:spacing w:after="140"/>
      </w:pPr>
      <w:r>
        <w:rPr>
          <w:rFonts w:ascii="Arial" w:cs="Arial" w:eastAsia="Arial" w:hAnsi="Arial"/>
          <w:i/>
          <w:iCs/>
          <w:color w:val="16243E"/>
          <w:sz w:val="22"/>
          <w:szCs w:val="22"/>
        </w:rPr>
        <w:t xml:space="preserve">A licensee is helping a buyer with a service animal and a property has a strict 'no pets' policy.</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issue is not covered by fair housing law at all</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no-pets policy can be enforced against the service animal like any other pet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A service or assistance animal is generally treated as a reasonable accommodation under fair housing law and is not subject to standard no-pets policies or associated pet fees in the same way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Service animals can be refused if the landlord simply doesn't like animals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Reasonable accommodation for assistance animals under disability protections is a well-established area of fair housing law.</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Treating a service or assistance animal the same as an ordinary pet under a no-pets policy misapplies fair housing accommodation rules.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Fair housing law generally requires landlords to make a reasonable accommodation for assistance animals, meaning standard no-pets policies and typical pet fees do not simply apply in the same way.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landlord's personal preference does not override the legal obligation to provide reasonable accommodations for a documented need.</w:t>
      </w:r>
    </w:p>
    <w:p>
      <w:pPr>
        <w:spacing w:after="60" w:before="260"/>
      </w:pPr>
      <w:r>
        <w:rPr>
          <w:rFonts w:ascii="Arial" w:cs="Arial" w:eastAsia="Arial" w:hAnsi="Arial"/>
          <w:b/>
          <w:bCs/>
          <w:color w:val="C13A18"/>
          <w:sz w:val="18"/>
          <w:szCs w:val="18"/>
        </w:rPr>
        <w:t xml:space="preserve">QUESTION GA-116</w:t>
      </w:r>
    </w:p>
    <w:p>
      <w:pPr>
        <w:spacing w:after="140"/>
      </w:pPr>
      <w:r>
        <w:rPr>
          <w:rFonts w:ascii="Arial" w:cs="Arial" w:eastAsia="Arial" w:hAnsi="Arial"/>
          <w:i/>
          <w:iCs/>
          <w:color w:val="16243E"/>
          <w:sz w:val="22"/>
          <w:szCs w:val="22"/>
        </w:rPr>
        <w:t xml:space="preserve">A property manager wants to charge a higher security deposit specifically to families with children compared to other tenants.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acceptable only in properties with pools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acceptable since it offsets potential additional wear and tear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acceptable if clearly stated in the lease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This is illegal discriminatory treatment based on familial status, a protected class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presence of amenities like a pool does not create an exception allowing differential treatment based on familial status.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generalized wear-and-tear assumption does not justify charging different terms based on a protected class.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Putting a discriminatory term in the lease does not make it lawful; the underlying practice remains illegal.</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Charging different deposit terms specifically because a household includes children is discrimination based on familial status, which is prohibited.</w:t>
      </w:r>
    </w:p>
    <w:p>
      <w:pPr>
        <w:spacing w:after="60" w:before="260"/>
      </w:pPr>
      <w:r>
        <w:rPr>
          <w:rFonts w:ascii="Arial" w:cs="Arial" w:eastAsia="Arial" w:hAnsi="Arial"/>
          <w:b/>
          <w:bCs/>
          <w:color w:val="C13A18"/>
          <w:sz w:val="18"/>
          <w:szCs w:val="18"/>
        </w:rPr>
        <w:t xml:space="preserve">QUESTION GA-117</w:t>
      </w:r>
    </w:p>
    <w:p>
      <w:pPr>
        <w:spacing w:after="140"/>
      </w:pPr>
      <w:r>
        <w:rPr>
          <w:rFonts w:ascii="Arial" w:cs="Arial" w:eastAsia="Arial" w:hAnsi="Arial"/>
          <w:i/>
          <w:iCs/>
          <w:color w:val="16243E"/>
          <w:sz w:val="22"/>
          <w:szCs w:val="22"/>
        </w:rPr>
        <w:t xml:space="preserve">A licensee learns that a lender is offering less favorable loan terms to applicants from a specific national origin group, a practice sometimes called redlining or a related discriminatory lending practice.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has nothing to do with real estate licensees and can be ignored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Licensees should be aware that such discriminatory lending practices are illegal and should not refer clients to or otherwise facilitate a lender's known discriminatory conduct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only illegal if it happens to more than ten applicants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practice is legal as long as it is not based on race specifically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Licensees should stay aware of discriminatory practices among partners, since referring clients to a lender known to discriminate raises its own concerns.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National origin is a protected class, and discriminatory lending practices are illegal; licensees have an interest in not facilitating known discriminatory conduct through referrals.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numeric threshold required before discriminatory lending practices are considered illegal.</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National origin, not just race, is a protected class under fair housing law, so this option is incorrect.</w:t>
      </w:r>
    </w:p>
    <w:p>
      <w:pPr>
        <w:spacing w:after="60" w:before="260"/>
      </w:pPr>
      <w:r>
        <w:rPr>
          <w:rFonts w:ascii="Arial" w:cs="Arial" w:eastAsia="Arial" w:hAnsi="Arial"/>
          <w:b/>
          <w:bCs/>
          <w:color w:val="C13A18"/>
          <w:sz w:val="18"/>
          <w:szCs w:val="18"/>
        </w:rPr>
        <w:t xml:space="preserve">QUESTION GA-118</w:t>
      </w:r>
    </w:p>
    <w:p>
      <w:pPr>
        <w:spacing w:after="140"/>
      </w:pPr>
      <w:r>
        <w:rPr>
          <w:rFonts w:ascii="Arial" w:cs="Arial" w:eastAsia="Arial" w:hAnsi="Arial"/>
          <w:i/>
          <w:iCs/>
          <w:color w:val="16243E"/>
          <w:sz w:val="22"/>
          <w:szCs w:val="22"/>
        </w:rPr>
        <w:t xml:space="preserve">A licensee wants to know whether religion is a protected class under the federal Fair Housing Act.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Yes, religion is one of the protected classes under the federal Fair Housing Act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Religion is protected only for certain recognized major religions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Religion is only protected at the state level in Georgia, not federally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No, religion is not covered by the federal Fair Housing Act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The federal Fair Housing Act lists religion among its protected classes, alongside race, color, national origin, sex, familial status, and disability.</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Federal protection is not limited to certain 'major' religions; it broadly covers religion as a protected class.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Religion is protected at the federal level under the Fair Housing Act itself, not merely at the state level.</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is incorrect; religion is explicitly covered under federal fair housing protections.</w:t>
      </w:r>
    </w:p>
    <w:p>
      <w:pPr>
        <w:spacing w:after="60" w:before="260"/>
      </w:pPr>
      <w:r>
        <w:rPr>
          <w:rFonts w:ascii="Arial" w:cs="Arial" w:eastAsia="Arial" w:hAnsi="Arial"/>
          <w:b/>
          <w:bCs/>
          <w:color w:val="C13A18"/>
          <w:sz w:val="18"/>
          <w:szCs w:val="18"/>
        </w:rPr>
        <w:t xml:space="preserve">QUESTION GA-119</w:t>
      </w:r>
    </w:p>
    <w:p>
      <w:pPr>
        <w:spacing w:after="140"/>
      </w:pPr>
      <w:r>
        <w:rPr>
          <w:rFonts w:ascii="Arial" w:cs="Arial" w:eastAsia="Arial" w:hAnsi="Arial"/>
          <w:i/>
          <w:iCs/>
          <w:color w:val="16243E"/>
          <w:sz w:val="22"/>
          <w:szCs w:val="22"/>
        </w:rPr>
        <w:t xml:space="preserve">A licensee is asked by a client what the racial composition of a particular neighborhood is, framed as simply wanting demographic information.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acceptable if the licensee frames it as a joke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The licensee should decline to discuss neighborhood racial composition and instead redirect the client to independent, objective resources if they want demographic data</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acceptable only if the client is buying, not renting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licensee should provide detailed racial demographic breakdowns to be helpful</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Framing discriminatory-adjacent conduct as a joke does not make it acceptable or exempt from fair housing concerns.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The safer, compliant approach is to avoid personally characterizing neighborhoods by race and to point clients to independent public data sources if they want that kind of information.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concern applies equally to buyers and renters; there's no such carve-out.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Providing racial composition information directly risks facilitating steering, even if framed as neutral demographic help.</w:t>
      </w:r>
    </w:p>
    <w:p>
      <w:pPr>
        <w:spacing w:after="60" w:before="260"/>
      </w:pPr>
      <w:r>
        <w:rPr>
          <w:rFonts w:ascii="Arial" w:cs="Arial" w:eastAsia="Arial" w:hAnsi="Arial"/>
          <w:b/>
          <w:bCs/>
          <w:color w:val="C13A18"/>
          <w:sz w:val="18"/>
          <w:szCs w:val="18"/>
        </w:rPr>
        <w:t xml:space="preserve">QUESTION GA-120</w:t>
      </w:r>
    </w:p>
    <w:p>
      <w:pPr>
        <w:spacing w:after="140"/>
      </w:pPr>
      <w:r>
        <w:rPr>
          <w:rFonts w:ascii="Arial" w:cs="Arial" w:eastAsia="Arial" w:hAnsi="Arial"/>
          <w:i/>
          <w:iCs/>
          <w:color w:val="16243E"/>
          <w:sz w:val="22"/>
          <w:szCs w:val="22"/>
        </w:rPr>
        <w:t xml:space="preserve">A licensee wants to identify which of the following is NOT one of the seven classes protected under the federal Fair Housing Act.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Familial status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Disability</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Source of income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Sex</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Familial status is one of the seven classes protected under the federal Fair Housing Act.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Disability is one of the seven classes protected under the federal Fair Housing Act.</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Source of income is correct: it is not one of the seven federally protected classes, though some states and localities separately protect it.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Sex is one of the seven classes protected under the federal Fair Housing Act.</w:t>
      </w:r>
    </w:p>
    <w:p>
      <w:pPr>
        <w:spacing w:after="60" w:before="260"/>
      </w:pPr>
      <w:r>
        <w:rPr>
          <w:rFonts w:ascii="Arial" w:cs="Arial" w:eastAsia="Arial" w:hAnsi="Arial"/>
          <w:b/>
          <w:bCs/>
          <w:color w:val="C13A18"/>
          <w:sz w:val="18"/>
          <w:szCs w:val="18"/>
        </w:rPr>
        <w:t xml:space="preserve">QUESTION GA-121</w:t>
      </w:r>
    </w:p>
    <w:p>
      <w:pPr>
        <w:spacing w:after="140"/>
      </w:pPr>
      <w:r>
        <w:rPr>
          <w:rFonts w:ascii="Arial" w:cs="Arial" w:eastAsia="Arial" w:hAnsi="Arial"/>
          <w:i/>
          <w:iCs/>
          <w:color w:val="16243E"/>
          <w:sz w:val="22"/>
          <w:szCs w:val="22"/>
        </w:rPr>
        <w:t xml:space="preserve">A property owner refuses to rent to an applicant because the applicant is pregnant, believing the tenant will soon need more space than the lease unit provides.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only illegal if the pregnancy is visibly apparent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This is illegal discrimination based on familial status, since pregnancy-related refusals fall under this protected class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acceptable if the owner offers to help the applicant find another unit instead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a legitimate business judgment about future space needs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Whether the pregnancy is visible has no bearing on whether the discriminatory refusal is illegal.</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Pregnancy discrimination falls under familial status protections in fair housing law, making this refusal illegal regardless of the underlying rationale.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Offering an alternative does not cure the underlying discriminatory refusal of the specific unit being sought.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Speculating about future needs does not justify refusing housing based on a protected characteristic like pregnancy.</w:t>
      </w:r>
    </w:p>
    <w:p>
      <w:pPr>
        <w:spacing w:after="60" w:before="260"/>
      </w:pPr>
      <w:r>
        <w:rPr>
          <w:rFonts w:ascii="Arial" w:cs="Arial" w:eastAsia="Arial" w:hAnsi="Arial"/>
          <w:b/>
          <w:bCs/>
          <w:color w:val="C13A18"/>
          <w:sz w:val="18"/>
          <w:szCs w:val="18"/>
        </w:rPr>
        <w:t xml:space="preserve">QUESTION GA-122</w:t>
      </w:r>
    </w:p>
    <w:p>
      <w:pPr>
        <w:spacing w:after="140"/>
      </w:pPr>
      <w:r>
        <w:rPr>
          <w:rFonts w:ascii="Arial" w:cs="Arial" w:eastAsia="Arial" w:hAnsi="Arial"/>
          <w:i/>
          <w:iCs/>
          <w:color w:val="16243E"/>
          <w:sz w:val="22"/>
          <w:szCs w:val="22"/>
        </w:rPr>
        <w:t xml:space="preserve">A licensee is showing homes and consistently only shows accessible, single-story homes to older clients without being asked, assuming that's what they'd prefer.</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can constitute a form of steering based on assumptions tied to age or perceived ability, and licensees should let clients define their own criteria rather than assume it for them</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helpful customer service and not a fair housing concern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only a concern if the client is disabled, not merely older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required by law for clients over a certain age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Making assumptions about what someone wants based on perceived age or ability and limiting their options accordingly can function as improper steering; clients should set their own search criteria.</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Even well-intentioned assumption-based steering can be a fair housing concern because it limits options based on a generalization.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Steering concerns based on assumptions can arise regardless of whether a specific disability has been disclosed; the issue is limiting options based on generalized assumptions.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There is no legal requirement to funnel older clients toward single-story homes; that would itself reflect a stereotype-based assumption.</w:t>
      </w:r>
    </w:p>
    <w:p>
      <w:pPr>
        <w:spacing w:after="60" w:before="260"/>
      </w:pPr>
      <w:r>
        <w:rPr>
          <w:rFonts w:ascii="Arial" w:cs="Arial" w:eastAsia="Arial" w:hAnsi="Arial"/>
          <w:b/>
          <w:bCs/>
          <w:color w:val="C13A18"/>
          <w:sz w:val="18"/>
          <w:szCs w:val="18"/>
        </w:rPr>
        <w:t xml:space="preserve">QUESTION GA-123</w:t>
      </w:r>
    </w:p>
    <w:p>
      <w:pPr>
        <w:spacing w:after="140"/>
      </w:pPr>
      <w:r>
        <w:rPr>
          <w:rFonts w:ascii="Arial" w:cs="Arial" w:eastAsia="Arial" w:hAnsi="Arial"/>
          <w:i/>
          <w:iCs/>
          <w:color w:val="16243E"/>
          <w:sz w:val="22"/>
          <w:szCs w:val="22"/>
        </w:rPr>
        <w:t xml:space="preserve">A licensee wants to know if the Fair Housing Act's protections apply only to the sale of homes, or also to rentals and related services like financing.</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Fair Housing Act protections apply only to financing, not sales or rentals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Fair Housing Act protections apply only to home sales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Fair Housing Act protections apply only to new construction</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Fair Housing Act protections extend to the sale and rental of housing, as well as related activities like residential financing and advertising</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Financing is one covered area, but sales and rentals are covered as well, not excluded.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Limiting the Act's scope to sales alone significantly understates its coverage.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Act is not limited to new construction; it applies broadly across housing transactions, new and existing.</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The Fair Housing Act covers sales, rentals, financing, and advertising of housing, among other housing-related activities.</w:t>
      </w:r>
    </w:p>
    <w:p>
      <w:pPr>
        <w:spacing w:after="60" w:before="260"/>
      </w:pPr>
      <w:r>
        <w:rPr>
          <w:rFonts w:ascii="Arial" w:cs="Arial" w:eastAsia="Arial" w:hAnsi="Arial"/>
          <w:b/>
          <w:bCs/>
          <w:color w:val="C13A18"/>
          <w:sz w:val="18"/>
          <w:szCs w:val="18"/>
        </w:rPr>
        <w:t xml:space="preserve">QUESTION GA-124</w:t>
      </w:r>
    </w:p>
    <w:p>
      <w:pPr>
        <w:spacing w:after="140"/>
      </w:pPr>
      <w:r>
        <w:rPr>
          <w:rFonts w:ascii="Arial" w:cs="Arial" w:eastAsia="Arial" w:hAnsi="Arial"/>
          <w:i/>
          <w:iCs/>
          <w:color w:val="16243E"/>
          <w:sz w:val="22"/>
          <w:szCs w:val="22"/>
        </w:rPr>
        <w:t xml:space="preserve">A licensee learns that a homeowners association is enforcing a rule that effectively prevents wheelchair ramps from being installed on any unit's exterior.</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type of blanket rule can conflict with reasonable accommodation/modification requirements under fair housing law for residents with disabilities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acceptable as long as the rule applies to all residents equally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concern only applies to HOAs in certain counties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HOA rules are entirely exempt from fair housing law</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Fair housing law generally requires allowing reasonable modifications, like accessibility ramps, for residents with disabilities, so a blanket prohibition can create legal exposure for the HOA.</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Applying a rule equally does not cure a fair housing violation when the rule itself blocks a legally required reasonable accommodation for people with disabilities.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is a matter of federal (and often state) law that applies broadly, not limited to specific counties.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HOAs are not categorically exempt from fair housing obligations.</w:t>
      </w:r>
    </w:p>
    <w:p>
      <w:pPr>
        <w:spacing w:after="60" w:before="260"/>
      </w:pPr>
      <w:r>
        <w:rPr>
          <w:rFonts w:ascii="Arial" w:cs="Arial" w:eastAsia="Arial" w:hAnsi="Arial"/>
          <w:b/>
          <w:bCs/>
          <w:color w:val="C13A18"/>
          <w:sz w:val="18"/>
          <w:szCs w:val="18"/>
        </w:rPr>
        <w:t xml:space="preserve">QUESTION GA-125</w:t>
      </w:r>
    </w:p>
    <w:p>
      <w:pPr>
        <w:spacing w:after="140"/>
      </w:pPr>
      <w:r>
        <w:rPr>
          <w:rFonts w:ascii="Arial" w:cs="Arial" w:eastAsia="Arial" w:hAnsi="Arial"/>
          <w:i/>
          <w:iCs/>
          <w:color w:val="16243E"/>
          <w:sz w:val="22"/>
          <w:szCs w:val="22"/>
        </w:rPr>
        <w:t xml:space="preserve">A licensee wants to understand the difference between 'steering' and legitimate guidance based on a buyer's stated budget and objective needs.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Steering involves directing clients toward or away from areas based on protected class characteristics, while guidance based on objective factors like budget or requested features is not inherently discriminatory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Steering only applies to listing agents, never buyer's agents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There is no legal difference; all guidance is considered steering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Providing any neighborhood information at all is illegal steering</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The key distinction is whether the guidance is based on protected class characteristics, illegal, versus objective client-stated criteria like price range or amenities, which is legitimate.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Both listing agents and buyer's agents can potentially engage in improper steering; it is not limited to one role.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a meaningful legal distinction; not all guidance is prohibited steering.</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Providing objective, requested information is not automatically illegal; the concern is guidance based on protected class assumptions.</w:t>
      </w:r>
    </w:p>
    <w:p>
      <w:pPr>
        <w:spacing w:after="60" w:before="260"/>
      </w:pPr>
      <w:r>
        <w:rPr>
          <w:rFonts w:ascii="Arial" w:cs="Arial" w:eastAsia="Arial" w:hAnsi="Arial"/>
          <w:b/>
          <w:bCs/>
          <w:color w:val="C13A18"/>
          <w:sz w:val="18"/>
          <w:szCs w:val="18"/>
        </w:rPr>
        <w:t xml:space="preserve">QUESTION GA-126</w:t>
      </w:r>
    </w:p>
    <w:p>
      <w:pPr>
        <w:spacing w:after="140"/>
      </w:pPr>
      <w:r>
        <w:rPr>
          <w:rFonts w:ascii="Arial" w:cs="Arial" w:eastAsia="Arial" w:hAnsi="Arial"/>
          <w:i/>
          <w:iCs/>
          <w:color w:val="16243E"/>
          <w:sz w:val="22"/>
          <w:szCs w:val="22"/>
        </w:rPr>
        <w:t xml:space="preserve">A licensee is asked by a seller not to disclose to potential buyers that the seller uses a wheelchair, out of concern that it might affect the sale.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information must be included on the property disclosure form</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Withholding this information is illegal under fair housing law</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seller's disability status must always be disclosed to all buyers regardless of the seller's wishes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A seller's own disability status is generally personal information the seller can choose whether to share, and this is different from a licensee discriminating against buyers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seller's personal disability status is not a required item on a property condition disclosure form.</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Fair housing law targets discrimination against protected buyers/renters; it does not require sellers to disclose their own personal characteristics.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requirement to disclose a seller's personal disability status to buyers; that would itself raise privacy concerns.</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scenario concerns the seller's own personal information, which is different from a licensee refusing service or steering a buyer based on that buyer's protected characteristics.</w:t>
      </w:r>
    </w:p>
    <w:p>
      <w:pPr>
        <w:spacing w:after="60" w:before="260"/>
      </w:pPr>
      <w:r>
        <w:rPr>
          <w:rFonts w:ascii="Arial" w:cs="Arial" w:eastAsia="Arial" w:hAnsi="Arial"/>
          <w:b/>
          <w:bCs/>
          <w:color w:val="C13A18"/>
          <w:sz w:val="18"/>
          <w:szCs w:val="18"/>
        </w:rPr>
        <w:t xml:space="preserve">QUESTION GA-127</w:t>
      </w:r>
    </w:p>
    <w:p>
      <w:pPr>
        <w:spacing w:after="140"/>
      </w:pPr>
      <w:r>
        <w:rPr>
          <w:rFonts w:ascii="Arial" w:cs="Arial" w:eastAsia="Arial" w:hAnsi="Arial"/>
          <w:i/>
          <w:iCs/>
          <w:color w:val="16243E"/>
          <w:sz w:val="22"/>
          <w:szCs w:val="22"/>
        </w:rPr>
        <w:t xml:space="preserve">A licensee wants to know whether the federal Fair Housing Act contains any exemptions, such as for certain small owner-occupied buildings.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Fair Housing Act has zero exemptions of any kind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The Fair Housing Act contains limited exemptions, such as certain owner-occupied buildings with a small number of units, though these exemptions are narrow and don't apply to discriminatory advertising</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Exemptions apply only to properties built before 1950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All rental properties are automatically exempt regardless of size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There are recognized limited exemptions, so a claim of zero exemptions is inaccurate.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The Act does include narrow exemptions, like certain small owner-occupied buildings under specific conditions, but importantly these exemptions generally do not extend to discriminatory advertising.</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such blanket date-based exemption tied to a 1950 construction cutoff.</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Exemptions are narrow and specific, not a blanket exemption for all rental properties regardless of size.</w:t>
      </w:r>
    </w:p>
    <w:p>
      <w:pPr>
        <w:spacing w:after="60" w:before="260"/>
      </w:pPr>
      <w:r>
        <w:rPr>
          <w:rFonts w:ascii="Arial" w:cs="Arial" w:eastAsia="Arial" w:hAnsi="Arial"/>
          <w:b/>
          <w:bCs/>
          <w:color w:val="C13A18"/>
          <w:sz w:val="18"/>
          <w:szCs w:val="18"/>
        </w:rPr>
        <w:t xml:space="preserve">QUESTION GA-128</w:t>
      </w:r>
    </w:p>
    <w:p>
      <w:pPr>
        <w:spacing w:after="140"/>
      </w:pPr>
      <w:r>
        <w:rPr>
          <w:rFonts w:ascii="Arial" w:cs="Arial" w:eastAsia="Arial" w:hAnsi="Arial"/>
          <w:i/>
          <w:iCs/>
          <w:color w:val="16243E"/>
          <w:sz w:val="22"/>
          <w:szCs w:val="22"/>
        </w:rPr>
        <w:t xml:space="preserve">A licensee wants to know if it is legal to ask a buyer directly what country they are originally from as small talk during a showing.</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only a concern if the buyer is uncomfortable answering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always perfectly appropriate and has no fair housing implications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While casual conversation happens, licensees should be cautious, since national origin is a protected class and using such information to guide housing decisions or steering would be illegal</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illegal only if asked in writing</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legal concern exists regardless of whether the buyer personally feels comfortable answering; the risk is about how such information could be used.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Casual as it may seem, this kind of inquiry touches a protected class area and merits caution, so 'no implications at all' understates the risk.</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National origin is protected, and the concern is less about polite conversation itself and more about ensuring such information is never used to steer or otherwise treat someone differently in the transaction.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format of the question, spoken or written, does not change the underlying fair housing concern.</w:t>
      </w:r>
    </w:p>
    <w:p>
      <w:pPr>
        <w:spacing w:after="60" w:before="260"/>
      </w:pPr>
      <w:r>
        <w:rPr>
          <w:rFonts w:ascii="Arial" w:cs="Arial" w:eastAsia="Arial" w:hAnsi="Arial"/>
          <w:b/>
          <w:bCs/>
          <w:color w:val="C13A18"/>
          <w:sz w:val="18"/>
          <w:szCs w:val="18"/>
        </w:rPr>
        <w:t xml:space="preserve">QUESTION GA-129</w:t>
      </w:r>
    </w:p>
    <w:p>
      <w:pPr>
        <w:spacing w:after="140"/>
      </w:pPr>
      <w:r>
        <w:rPr>
          <w:rFonts w:ascii="Arial" w:cs="Arial" w:eastAsia="Arial" w:hAnsi="Arial"/>
          <w:i/>
          <w:iCs/>
          <w:color w:val="16243E"/>
          <w:sz w:val="22"/>
          <w:szCs w:val="22"/>
        </w:rPr>
        <w:t xml:space="preserve">A licensee wants to know if disability under the Fair Housing Act includes conditions beyond physical mobility impairments.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Disability is not actually a protected class under the federal Fair Housing Act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Disability under the Act only covers physical mobility impairments like wheelchair use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Disability under the Act broadly covers physical and mental impairments that substantially limit major life activities, which can include a wide range of conditions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Disability protections only apply to veterans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Disability is explicitly one of the seven classes protected under the federal Fair Housing Act.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Limiting the definition to mobility impairments significantly understates the Act's broader definition of disability.</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The Fair Housing Act's definition of disability is broad, covering physical and mental impairments that substantially limit one or more major life activities.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Disability protection is not limited to veterans; it applies broadly to any qualifying individual.</w:t>
      </w:r>
    </w:p>
    <w:p>
      <w:pPr>
        <w:spacing w:after="60" w:before="260"/>
      </w:pPr>
      <w:r>
        <w:rPr>
          <w:rFonts w:ascii="Arial" w:cs="Arial" w:eastAsia="Arial" w:hAnsi="Arial"/>
          <w:b/>
          <w:bCs/>
          <w:color w:val="C13A18"/>
          <w:sz w:val="18"/>
          <w:szCs w:val="18"/>
        </w:rPr>
        <w:t xml:space="preserve">QUESTION GA-130</w:t>
      </w:r>
    </w:p>
    <w:p>
      <w:pPr>
        <w:spacing w:after="140"/>
      </w:pPr>
      <w:r>
        <w:rPr>
          <w:rFonts w:ascii="Arial" w:cs="Arial" w:eastAsia="Arial" w:hAnsi="Arial"/>
          <w:i/>
          <w:iCs/>
          <w:color w:val="16243E"/>
          <w:sz w:val="22"/>
          <w:szCs w:val="22"/>
        </w:rPr>
        <w:t xml:space="preserve">A licensee wants to know the general purpose of testing programs, sometimes conducted by fair housing organizations, that send matched pairs of testers to inquire about the same property.</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Testing programs only apply to commercial properties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Testing programs are illegal entrapment and cannot be used as evidence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Testing programs are run exclusively by GREC</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Testing programs are a recognized method for detecting discriminatory treatment by comparing how differently-situated testers are treated for the same inquiry</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Testing programs are commonly used for residential rental and sales transactions, not limited to commercial property.</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Fair housing testing has been recognized as a legitimate investigative and evidentiary tool, not illegal entrapment.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Testing is conducted by various fair housing organizations and agencies, not exclusively by GREC.</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By sending testers who differ mainly in a protected characteristic to inquire about the same property, differences in treatment can reveal discriminatory practices, making this a recognized enforcement tool.</w:t>
      </w:r>
    </w:p>
    <w:p>
      <w:r>
        <w:br w:type="page"/>
      </w:r>
    </w:p>
    <w:p>
      <w:pPr>
        <w:pStyle w:val="Heading1"/>
        <w:spacing w:after="60" w:before="200"/>
      </w:pPr>
      <w:r>
        <w:rPr>
          <w:rFonts w:ascii="Arial" w:cs="Arial" w:eastAsia="Arial" w:hAnsi="Arial"/>
          <w:color w:val="16243E"/>
        </w:rPr>
        <w:t xml:space="preserve">Finance &amp; Closing</w:t>
      </w:r>
    </w:p>
    <w:p>
      <w:pPr>
        <w:pBdr>
          <w:bottom w:val="single" w:color="E5431F" w:sz="8" w:space="4"/>
        </w:pBdr>
        <w:spacing w:after="300"/>
      </w:pPr>
      <w:r>
        <w:rPr>
          <w:rFonts w:ascii="Arial" w:cs="Arial" w:eastAsia="Arial" w:hAnsi="Arial"/>
          <w:i/>
          <w:iCs/>
          <w:color w:val="677081"/>
          <w:sz w:val="18"/>
          <w:szCs w:val="18"/>
        </w:rPr>
        <w:t xml:space="preserve">35 questions in this section</w:t>
      </w:r>
    </w:p>
    <w:p>
      <w:pPr>
        <w:spacing w:after="60" w:before="260"/>
      </w:pPr>
      <w:r>
        <w:rPr>
          <w:rFonts w:ascii="Arial" w:cs="Arial" w:eastAsia="Arial" w:hAnsi="Arial"/>
          <w:b/>
          <w:bCs/>
          <w:color w:val="C13A18"/>
          <w:sz w:val="18"/>
          <w:szCs w:val="18"/>
        </w:rPr>
        <w:t xml:space="preserve">QUESTION GA-131</w:t>
      </w:r>
    </w:p>
    <w:p>
      <w:pPr>
        <w:spacing w:after="140"/>
      </w:pPr>
      <w:r>
        <w:rPr>
          <w:rFonts w:ascii="Arial" w:cs="Arial" w:eastAsia="Arial" w:hAnsi="Arial"/>
          <w:i/>
          <w:iCs/>
          <w:color w:val="16243E"/>
          <w:sz w:val="22"/>
          <w:szCs w:val="22"/>
        </w:rPr>
        <w:t xml:space="preserve">A buyer is comparing a fixed-rate mortgage to an adjustable-rate mortgage (ARM) and wants to know the key difference.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fixed-rate mortgage's interest rate can change annually, while an ARM never changes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 fixed-rate mortgage keeps the same interest rate for the loan term, while an ARM's rate can adjust periodically based on an index</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Only ARMs are available for loans over $200,000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There is no real difference; both terms describe the same loan type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reverses the actual definitions of the two loan types.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A fixed-rate loan locks in one rate for the life of the loan, while an ARM's rate adjusts periodically according to a specified index and margin.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Loan type availability is not dictated by a fixed dollar threshold like this.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These are distinct loan structures with materially different payment risk profiles, not interchangeable terms.</w:t>
      </w:r>
    </w:p>
    <w:p>
      <w:pPr>
        <w:spacing w:after="60" w:before="260"/>
      </w:pPr>
      <w:r>
        <w:rPr>
          <w:rFonts w:ascii="Arial" w:cs="Arial" w:eastAsia="Arial" w:hAnsi="Arial"/>
          <w:b/>
          <w:bCs/>
          <w:color w:val="C13A18"/>
          <w:sz w:val="18"/>
          <w:szCs w:val="18"/>
        </w:rPr>
        <w:t xml:space="preserve">QUESTION GA-132</w:t>
      </w:r>
    </w:p>
    <w:p>
      <w:pPr>
        <w:spacing w:after="140"/>
      </w:pPr>
      <w:r>
        <w:rPr>
          <w:rFonts w:ascii="Arial" w:cs="Arial" w:eastAsia="Arial" w:hAnsi="Arial"/>
          <w:i/>
          <w:iCs/>
          <w:color w:val="16243E"/>
          <w:sz w:val="22"/>
          <w:szCs w:val="22"/>
        </w:rPr>
        <w:t xml:space="preserve">A buyer is told their loan requires private mortgage insurance (PMI). They want to know when PMI is typically required.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PMI is required on every mortgage regardless of down payment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PMI is only used for FHA loans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PMI is typically required on conventional loans when the buyer's down payment is below a certain threshold, commonly around 20%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PMI is a one-time fee paid entirely at closing with no ongoing cost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PMI is not universal; loans with sufficient down payments typically do not require it.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FHA loans use a different insurance mechanism, mortgage insurance premium (MIP); PMI specifically refers to conventional loan insurance.</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Conventional lenders commonly require PMI when the loan-to-value ratio is high, typically when the down payment is below around 20%, to protect against default risk.</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PMI is typically an ongoing cost added to the monthly payment, not simply a single closing charge, until it can be removed.</w:t>
      </w:r>
    </w:p>
    <w:p>
      <w:pPr>
        <w:spacing w:after="60" w:before="260"/>
      </w:pPr>
      <w:r>
        <w:rPr>
          <w:rFonts w:ascii="Arial" w:cs="Arial" w:eastAsia="Arial" w:hAnsi="Arial"/>
          <w:b/>
          <w:bCs/>
          <w:color w:val="C13A18"/>
          <w:sz w:val="18"/>
          <w:szCs w:val="18"/>
        </w:rPr>
        <w:t xml:space="preserve">QUESTION GA-133</w:t>
      </w:r>
    </w:p>
    <w:p>
      <w:pPr>
        <w:spacing w:after="140"/>
      </w:pPr>
      <w:r>
        <w:rPr>
          <w:rFonts w:ascii="Arial" w:cs="Arial" w:eastAsia="Arial" w:hAnsi="Arial"/>
          <w:i/>
          <w:iCs/>
          <w:color w:val="16243E"/>
          <w:sz w:val="22"/>
          <w:szCs w:val="22"/>
        </w:rPr>
        <w:t xml:space="preserve">A buyer wants to know the general difference between an FHA loan and a conventional loan.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There is no meaningful difference between the two loan types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Conventional loans are always cheaper regardless of the buyer's credit profile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FHA loans are insured by a government agency and often have more flexible qualifying standards, while conventional loans are not government-insured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FHA loans can only be used for new construction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These loan types have distinct insuring structures and qualifying guidelines, making the difference meaningful for buyers.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Which loan type is cheaper depends on the buyer's specific credit profile and down payment, not a blanket rule favoring conventional loans.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correct: FHA loans carry government mortgage insurance and often allow more flexible credit/down payment standards, distinguishing them from conventional loans.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FHA loans can be used for a range of property types, including existing homes, not just new construction.</w:t>
      </w:r>
    </w:p>
    <w:p>
      <w:pPr>
        <w:spacing w:after="60" w:before="260"/>
      </w:pPr>
      <w:r>
        <w:rPr>
          <w:rFonts w:ascii="Arial" w:cs="Arial" w:eastAsia="Arial" w:hAnsi="Arial"/>
          <w:b/>
          <w:bCs/>
          <w:color w:val="C13A18"/>
          <w:sz w:val="18"/>
          <w:szCs w:val="18"/>
        </w:rPr>
        <w:t xml:space="preserve">QUESTION GA-134</w:t>
      </w:r>
    </w:p>
    <w:p>
      <w:pPr>
        <w:spacing w:after="140"/>
      </w:pPr>
      <w:r>
        <w:rPr>
          <w:rFonts w:ascii="Arial" w:cs="Arial" w:eastAsia="Arial" w:hAnsi="Arial"/>
          <w:i/>
          <w:iCs/>
          <w:color w:val="16243E"/>
          <w:sz w:val="22"/>
          <w:szCs w:val="22"/>
        </w:rPr>
        <w:t xml:space="preserve">A seller wants to know what a 'deed' does in a real estate transaction, as opposed to a mortgage or promissory note.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deed and a mortgage are legally identical documents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 deed is the legal document that conveys title/ownership of real property from grantor to grantee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 deed is only used in commercial transactions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deed is the document that creates the buyer's loan obligation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mortgage secures a loan against the property; a deed conveys ownership; they serve distinct legal functions.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A deed is the instrument used to transfer ownership interest in real property from the seller (grantor) to the buyer (grantee).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Deeds are used in residential transactions just as commonly as in commercial ones.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loan obligation is created by the promissory note, not the deed.</w:t>
      </w:r>
    </w:p>
    <w:p>
      <w:pPr>
        <w:spacing w:after="60" w:before="260"/>
      </w:pPr>
      <w:r>
        <w:rPr>
          <w:rFonts w:ascii="Arial" w:cs="Arial" w:eastAsia="Arial" w:hAnsi="Arial"/>
          <w:b/>
          <w:bCs/>
          <w:color w:val="C13A18"/>
          <w:sz w:val="18"/>
          <w:szCs w:val="18"/>
        </w:rPr>
        <w:t xml:space="preserve">QUESTION GA-135</w:t>
      </w:r>
    </w:p>
    <w:p>
      <w:pPr>
        <w:spacing w:after="140"/>
      </w:pPr>
      <w:r>
        <w:rPr>
          <w:rFonts w:ascii="Arial" w:cs="Arial" w:eastAsia="Arial" w:hAnsi="Arial"/>
          <w:i/>
          <w:iCs/>
          <w:color w:val="16243E"/>
          <w:sz w:val="22"/>
          <w:szCs w:val="22"/>
        </w:rPr>
        <w:t xml:space="preserve">A buyer wants to know what a promissory note represents in a financed real estate purchase.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promissory note is only used for cash purchases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promissory note is the document that transfers title to the buyer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promissory note has no legal significance once the loan is funded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promissory note is the buyer's written promise to repay the loan under specified terms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Promissory notes apply to financed transactions; a cash purchase, by definition, does not involve a loan or a note.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Title transfer is accomplished through the deed, not the promissory note.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note remains the operative loan obligation document throughout the loan's term, not something that becomes irrelevant after funding.</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The promissory note is the borrower's personal promise to repay the debt, including terms like interest rate and repayment schedule.</w:t>
      </w:r>
    </w:p>
    <w:p>
      <w:pPr>
        <w:spacing w:after="60" w:before="260"/>
      </w:pPr>
      <w:r>
        <w:rPr>
          <w:rFonts w:ascii="Arial" w:cs="Arial" w:eastAsia="Arial" w:hAnsi="Arial"/>
          <w:b/>
          <w:bCs/>
          <w:color w:val="C13A18"/>
          <w:sz w:val="18"/>
          <w:szCs w:val="18"/>
        </w:rPr>
        <w:t xml:space="preserve">QUESTION GA-136</w:t>
      </w:r>
    </w:p>
    <w:p>
      <w:pPr>
        <w:spacing w:after="140"/>
      </w:pPr>
      <w:r>
        <w:rPr>
          <w:rFonts w:ascii="Arial" w:cs="Arial" w:eastAsia="Arial" w:hAnsi="Arial"/>
          <w:i/>
          <w:iCs/>
          <w:color w:val="16243E"/>
          <w:sz w:val="22"/>
          <w:szCs w:val="22"/>
        </w:rPr>
        <w:t xml:space="preserve">A buyer defaults on a mortgage, and the lender pursues foreclosure. The buyer wants to understand generally what this process does.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Foreclosure requires no legal process and can occur immediately upon a single missed payment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Foreclosure only applies to commercial mortgages, not residential ones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Foreclosure transfers the buyer's personal liability to a third party automatically</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Foreclosure is the legal process by which a lender enforces its lien against the property, generally leading to a sale to satisfy the debt</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Foreclosure involves legal procedures and notice requirements; it is not an immediate, process-free action after one missed payment.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Foreclosure applies to residential mortgages as well as commercial ones.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Foreclosure concerns the lender's enforcement against the property/lien, not an automatic transfer of the borrower's personal liability to someone else.</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Foreclosure is the lender's legal remedy for enforcing its security interest, typically resulting in a forced sale of the property to satisfy the outstanding debt.</w:t>
      </w:r>
    </w:p>
    <w:p>
      <w:pPr>
        <w:spacing w:after="60" w:before="260"/>
      </w:pPr>
      <w:r>
        <w:rPr>
          <w:rFonts w:ascii="Arial" w:cs="Arial" w:eastAsia="Arial" w:hAnsi="Arial"/>
          <w:b/>
          <w:bCs/>
          <w:color w:val="C13A18"/>
          <w:sz w:val="18"/>
          <w:szCs w:val="18"/>
        </w:rPr>
        <w:t xml:space="preserve">QUESTION GA-137</w:t>
      </w:r>
    </w:p>
    <w:p>
      <w:pPr>
        <w:spacing w:after="140"/>
      </w:pPr>
      <w:r>
        <w:rPr>
          <w:rFonts w:ascii="Arial" w:cs="Arial" w:eastAsia="Arial" w:hAnsi="Arial"/>
          <w:i/>
          <w:iCs/>
          <w:color w:val="16243E"/>
          <w:sz w:val="22"/>
          <w:szCs w:val="22"/>
        </w:rPr>
        <w:t xml:space="preserve">A buyer wants to know the difference between a lien theory state and a title theory state regarding mortgages.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Title theory states do not allow foreclosure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Lien theory only applies to commercial loans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In a lien theory state, the borrower holds title and the lender holds a lien; in a title theory state, the lender or a trustee holds legal title until the debt is repaid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There is no legal distinction between the two theories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Foreclosure remedies exist in both theories; the theory affects the structure, not whether foreclosure is possible.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distinction applies to real property mortgage lending generally, not solely commercial loans.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describes the core structural difference: lien theory keeps title with the borrower subject to a lien, while title theory vests title with the lender/trustee until the loan is satisfied.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distinction does have legal significance affecting how mortgages function and how foreclosure operates in a given state.</w:t>
      </w:r>
    </w:p>
    <w:p>
      <w:pPr>
        <w:spacing w:after="60" w:before="260"/>
      </w:pPr>
      <w:r>
        <w:rPr>
          <w:rFonts w:ascii="Arial" w:cs="Arial" w:eastAsia="Arial" w:hAnsi="Arial"/>
          <w:b/>
          <w:bCs/>
          <w:color w:val="C13A18"/>
          <w:sz w:val="18"/>
          <w:szCs w:val="18"/>
        </w:rPr>
        <w:t xml:space="preserve">QUESTION GA-138</w:t>
      </w:r>
    </w:p>
    <w:p>
      <w:pPr>
        <w:spacing w:after="140"/>
      </w:pPr>
      <w:r>
        <w:rPr>
          <w:rFonts w:ascii="Arial" w:cs="Arial" w:eastAsia="Arial" w:hAnsi="Arial"/>
          <w:i/>
          <w:iCs/>
          <w:color w:val="16243E"/>
          <w:sz w:val="22"/>
          <w:szCs w:val="22"/>
        </w:rPr>
        <w:t xml:space="preserve">A buyer is reviewing their Closing Disclosure and wants to understand its general purpose under federal law (TRID/RESPA-related rules).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Closing Disclosure details the final loan terms and closing costs the buyer will pay, and must generally be provided within a required timeframe before closing</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Closing Disclosure replaces the need for a deed at closing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Closing Disclosure lists the property's physical condition issues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Closing Disclosure is optional and rarely used in residential transactions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The Closing Disclosure sets out final loan terms and closing costs and must be provided to the buyer within a federally required period before closing under TRID rules.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Closing Disclosure addresses loan and cost terms; it does not replace the deed, which conveys title.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Physical condition issues are addressed through inspections and disclosure statements, not the Closing Disclosure, which is a financial document.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Closing Disclosure is a required document under federal law for most residential mortgage transactions, not optional.</w:t>
      </w:r>
    </w:p>
    <w:p>
      <w:pPr>
        <w:spacing w:after="60" w:before="260"/>
      </w:pPr>
      <w:r>
        <w:rPr>
          <w:rFonts w:ascii="Arial" w:cs="Arial" w:eastAsia="Arial" w:hAnsi="Arial"/>
          <w:b/>
          <w:bCs/>
          <w:color w:val="C13A18"/>
          <w:sz w:val="18"/>
          <w:szCs w:val="18"/>
        </w:rPr>
        <w:t xml:space="preserve">QUESTION GA-139</w:t>
      </w:r>
    </w:p>
    <w:p>
      <w:pPr>
        <w:spacing w:after="140"/>
      </w:pPr>
      <w:r>
        <w:rPr>
          <w:rFonts w:ascii="Arial" w:cs="Arial" w:eastAsia="Arial" w:hAnsi="Arial"/>
          <w:i/>
          <w:iCs/>
          <w:color w:val="16243E"/>
          <w:sz w:val="22"/>
          <w:szCs w:val="22"/>
        </w:rPr>
        <w:t xml:space="preserve">A buyer wants to understand what an escrow account maintained by their mortgage servicer is generally used for after closing.</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It is commonly used to collect and pay ongoing property taxes and homeowners insurance on the buyer's behalf as part of the monthly payment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It is used exclusively to pay the real estate agents' commissions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It holds the buyer's earnest money until closing occurs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It is a one-time fund that is emptied and closed immediately after the first mortgage payment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Mortgage servicers commonly maintain an escrow account funded through the monthly payment to cover recurring obligations like property taxes and insurance.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Commissions are handled separately at closing through the settlement statement, not through this type of servicing escrow account.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Earnest money escrow held by the broker before closing is a separate concept from the ongoing mortgage servicing escrow account.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escrow account typically continues for the life of the loan to manage recurring tax and insurance payments, not just a single payment cycle.</w:t>
      </w:r>
    </w:p>
    <w:p>
      <w:pPr>
        <w:spacing w:after="60" w:before="260"/>
      </w:pPr>
      <w:r>
        <w:rPr>
          <w:rFonts w:ascii="Arial" w:cs="Arial" w:eastAsia="Arial" w:hAnsi="Arial"/>
          <w:b/>
          <w:bCs/>
          <w:color w:val="C13A18"/>
          <w:sz w:val="18"/>
          <w:szCs w:val="18"/>
        </w:rPr>
        <w:t xml:space="preserve">QUESTION GA-140</w:t>
      </w:r>
    </w:p>
    <w:p>
      <w:pPr>
        <w:spacing w:after="140"/>
      </w:pPr>
      <w:r>
        <w:rPr>
          <w:rFonts w:ascii="Arial" w:cs="Arial" w:eastAsia="Arial" w:hAnsi="Arial"/>
          <w:i/>
          <w:iCs/>
          <w:color w:val="16243E"/>
          <w:sz w:val="22"/>
          <w:szCs w:val="22"/>
        </w:rPr>
        <w:t xml:space="preserve">A buyer wants to know what 'points' mean in the context of a mortgage loan.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Points are a penalty for late mortgage payments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Points refer to the number of years in the loan term</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Points are upfront fees paid to the lender, often to reduce the interest rate, with one point typically equal to 1% of the loan amount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Points are a measure of the buyer's credit score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Late payment penalties are a separate concept from discount or origination points.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Loan term length is a separate loan characteristic, not what 'points' refers to.</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Discount points are prepaid amounts, generally 1% of the loan amount per point, that a borrower can pay upfront to buy down the interest rate.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Points are a financing cost concept, not a credit score measurement.</w:t>
      </w:r>
    </w:p>
    <w:p>
      <w:pPr>
        <w:spacing w:after="60" w:before="260"/>
      </w:pPr>
      <w:r>
        <w:rPr>
          <w:rFonts w:ascii="Arial" w:cs="Arial" w:eastAsia="Arial" w:hAnsi="Arial"/>
          <w:b/>
          <w:bCs/>
          <w:color w:val="C13A18"/>
          <w:sz w:val="18"/>
          <w:szCs w:val="18"/>
        </w:rPr>
        <w:t xml:space="preserve">QUESTION GA-141</w:t>
      </w:r>
    </w:p>
    <w:p>
      <w:pPr>
        <w:spacing w:after="140"/>
      </w:pPr>
      <w:r>
        <w:rPr>
          <w:rFonts w:ascii="Arial" w:cs="Arial" w:eastAsia="Arial" w:hAnsi="Arial"/>
          <w:i/>
          <w:iCs/>
          <w:color w:val="16243E"/>
          <w:sz w:val="22"/>
          <w:szCs w:val="22"/>
        </w:rPr>
        <w:t xml:space="preserve">At closing, the parties need to prorate property taxes since the seller has already paid the full year's tax bill in advance.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Proration is unnecessary since taxes are the seller's sole responsibility regardless of the sale date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Proration divides the tax expense between buyer and seller based on their respective periods of ownership during the tax year, giving the seller a credit for the buyer's portion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buyer automatically forfeits any credit for prepaid taxes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Proration only applies to homeowners insurance, not property taxes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Ongoing property tax responsibility shifts to the buyer upon closing, making proration necessary rather than unnecessary.</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Proration allocates the prepaid tax amount so each party bears costs only for their respective period of ownership, with the buyer typically reimbursing the seller for the buyer's post-closing share.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buyer does not forfeit a fair credit/debit reflecting actual ownership periods; that is the entire purpose of proration.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Proration commonly applies to various recurring costs, including property taxes, not just insurance.</w:t>
      </w:r>
    </w:p>
    <w:p>
      <w:pPr>
        <w:spacing w:after="60" w:before="260"/>
      </w:pPr>
      <w:r>
        <w:rPr>
          <w:rFonts w:ascii="Arial" w:cs="Arial" w:eastAsia="Arial" w:hAnsi="Arial"/>
          <w:b/>
          <w:bCs/>
          <w:color w:val="C13A18"/>
          <w:sz w:val="18"/>
          <w:szCs w:val="18"/>
        </w:rPr>
        <w:t xml:space="preserve">QUESTION GA-142</w:t>
      </w:r>
    </w:p>
    <w:p>
      <w:pPr>
        <w:spacing w:after="140"/>
      </w:pPr>
      <w:r>
        <w:rPr>
          <w:rFonts w:ascii="Arial" w:cs="Arial" w:eastAsia="Arial" w:hAnsi="Arial"/>
          <w:i/>
          <w:iCs/>
          <w:color w:val="16243E"/>
          <w:sz w:val="22"/>
          <w:szCs w:val="22"/>
        </w:rPr>
        <w:t xml:space="preserve">A buyer wants to know what title insurance protects against.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Title insurance protects against financial loss from defects in title, such as undisclosed liens, errors in public records, or ownership disputes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Title insurance is required only for cash purchases, never financed ones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Title insurance protects against physical damage to the home, like a homeowners policy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Title insurance guarantees the home will sell for a specific price in the future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Title insurance protects against covered title defects, such as undiscovered liens, forged documents, or recording errors that could affect ownership.</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Lenders commonly require lender's title insurance for financed purchases, making this the opposite of accurate; cash buyers are the ones who might more easily forgo it, though it's still recommended.</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Physical damage protection is the role of a homeowners insurance policy, not title insurance.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Title insurance has nothing to do with guaranteeing a future sale price; it addresses title-related risk.</w:t>
      </w:r>
    </w:p>
    <w:p>
      <w:pPr>
        <w:spacing w:after="60" w:before="260"/>
      </w:pPr>
      <w:r>
        <w:rPr>
          <w:rFonts w:ascii="Arial" w:cs="Arial" w:eastAsia="Arial" w:hAnsi="Arial"/>
          <w:b/>
          <w:bCs/>
          <w:color w:val="C13A18"/>
          <w:sz w:val="18"/>
          <w:szCs w:val="18"/>
        </w:rPr>
        <w:t xml:space="preserve">QUESTION GA-143</w:t>
      </w:r>
    </w:p>
    <w:p>
      <w:pPr>
        <w:spacing w:after="140"/>
      </w:pPr>
      <w:r>
        <w:rPr>
          <w:rFonts w:ascii="Arial" w:cs="Arial" w:eastAsia="Arial" w:hAnsi="Arial"/>
          <w:i/>
          <w:iCs/>
          <w:color w:val="16243E"/>
          <w:sz w:val="22"/>
          <w:szCs w:val="22"/>
        </w:rPr>
        <w:t xml:space="preserve">A buyer wants to know the difference between an owner's title insurance policy and a lender's title insurance policy.</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An owner's policy protects the buyer's equity interest in the property, while a lender's policy protects the lender's interest up to the loan amount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An owner's policy expires after five years regardless of ownership</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Only the lender's policy is ever available in Georgia</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They are the exact same policy covering the exact same insured party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An owner's policy protects the buyer's ownership interest, generally for as long as they or their heirs have an interest, while a lender's policy specifically protects the lender's security interest up to the loan balance.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standard owner's title policy generally continues for as long as the insured retains an interest in the property, not a fixed five-year term.</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Owner's title policies are commonly available and often recommended for buyers in Georgia, not merely lender's policies.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These are separate policies with different insured parties and coverage amounts, not one identical policy.</w:t>
      </w:r>
    </w:p>
    <w:p>
      <w:pPr>
        <w:spacing w:after="60" w:before="260"/>
      </w:pPr>
      <w:r>
        <w:rPr>
          <w:rFonts w:ascii="Arial" w:cs="Arial" w:eastAsia="Arial" w:hAnsi="Arial"/>
          <w:b/>
          <w:bCs/>
          <w:color w:val="C13A18"/>
          <w:sz w:val="18"/>
          <w:szCs w:val="18"/>
        </w:rPr>
        <w:t xml:space="preserve">QUESTION GA-144</w:t>
      </w:r>
    </w:p>
    <w:p>
      <w:pPr>
        <w:spacing w:after="140"/>
      </w:pPr>
      <w:r>
        <w:rPr>
          <w:rFonts w:ascii="Arial" w:cs="Arial" w:eastAsia="Arial" w:hAnsi="Arial"/>
          <w:i/>
          <w:iCs/>
          <w:color w:val="16243E"/>
          <w:sz w:val="22"/>
          <w:szCs w:val="22"/>
        </w:rPr>
        <w:t xml:space="preserve">A buyer's loan estimate shows an origination fee. They want to know what this fee generally covers.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It covers the real estate agent's commission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It covers the buyer's homeowners insurance premium for the first year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It is a government-mandated tax paid at closing</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It generally covers the lender's cost of processing and underwriting the loan application</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Agent commissions are addressed separately in the transaction, not bundled into the lender's origination fee.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Homeowners insurance is a separate line item from the loan origination fee.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Origination fees are lender charges, not a government tax.</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An origination fee typically compensates the lender for costs associated with evaluating, processing, and underwriting the loan.</w:t>
      </w:r>
    </w:p>
    <w:p>
      <w:pPr>
        <w:spacing w:after="60" w:before="260"/>
      </w:pPr>
      <w:r>
        <w:rPr>
          <w:rFonts w:ascii="Arial" w:cs="Arial" w:eastAsia="Arial" w:hAnsi="Arial"/>
          <w:b/>
          <w:bCs/>
          <w:color w:val="C13A18"/>
          <w:sz w:val="18"/>
          <w:szCs w:val="18"/>
        </w:rPr>
        <w:t xml:space="preserve">QUESTION GA-145</w:t>
      </w:r>
    </w:p>
    <w:p>
      <w:pPr>
        <w:spacing w:after="140"/>
      </w:pPr>
      <w:r>
        <w:rPr>
          <w:rFonts w:ascii="Arial" w:cs="Arial" w:eastAsia="Arial" w:hAnsi="Arial"/>
          <w:i/>
          <w:iCs/>
          <w:color w:val="16243E"/>
          <w:sz w:val="22"/>
          <w:szCs w:val="22"/>
        </w:rPr>
        <w:t xml:space="preserve">A buyer wants to understand what 'loan-to-value ratio' (LTV) measures.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LTV measures the loan amount as a percentage of the property's appraised value or purchase price, whichever is used by the lender's guidelines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LTV is only relevant for commercial loans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LTV measures the buyer's monthly income relative to expenses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LTV measures how many years remain on the loan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LTV expresses the loan amount as a percentage of the property's value, which lenders use to assess risk and requirements like PMI.</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LTV is a standard underwriting metric used for residential loans as well as commercial ones.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Income relative to expenses more closely describes a debt-to-income ratio, a separate underwriting metric.</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Loan term length is a separate concept from LTV, which is about loan amount relative to property value.</w:t>
      </w:r>
    </w:p>
    <w:p>
      <w:pPr>
        <w:spacing w:after="60" w:before="260"/>
      </w:pPr>
      <w:r>
        <w:rPr>
          <w:rFonts w:ascii="Arial" w:cs="Arial" w:eastAsia="Arial" w:hAnsi="Arial"/>
          <w:b/>
          <w:bCs/>
          <w:color w:val="C13A18"/>
          <w:sz w:val="18"/>
          <w:szCs w:val="18"/>
        </w:rPr>
        <w:t xml:space="preserve">QUESTION GA-146</w:t>
      </w:r>
    </w:p>
    <w:p>
      <w:pPr>
        <w:spacing w:after="140"/>
      </w:pPr>
      <w:r>
        <w:rPr>
          <w:rFonts w:ascii="Arial" w:cs="Arial" w:eastAsia="Arial" w:hAnsi="Arial"/>
          <w:i/>
          <w:iCs/>
          <w:color w:val="16243E"/>
          <w:sz w:val="22"/>
          <w:szCs w:val="22"/>
        </w:rPr>
        <w:t xml:space="preserve">A buyer wants to know what debt-to-income ratio (DTI) measures in the loan qualification process.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DTI has no bearing on loan qualification</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DTI measures the buyer's total monthly debt obligations as a percentage of their gross monthly income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DTI measures the buyer's credit score directly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DTI measures the property's value relative to the loan amount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DTI is a core factor lenders use in determining a buyer's qualification and maximum loan amount.</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DTI compares a borrower's monthly debt payments to their gross monthly income to help assess repayment capacity.</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DTI is a distinct calculation from credit score, though both factor into underwriting decisions.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Value relative to loan amount describes loan-to-value ratio, a separate metric from DTI.</w:t>
      </w:r>
    </w:p>
    <w:p>
      <w:pPr>
        <w:spacing w:after="60" w:before="260"/>
      </w:pPr>
      <w:r>
        <w:rPr>
          <w:rFonts w:ascii="Arial" w:cs="Arial" w:eastAsia="Arial" w:hAnsi="Arial"/>
          <w:b/>
          <w:bCs/>
          <w:color w:val="C13A18"/>
          <w:sz w:val="18"/>
          <w:szCs w:val="18"/>
        </w:rPr>
        <w:t xml:space="preserve">QUESTION GA-147</w:t>
      </w:r>
    </w:p>
    <w:p>
      <w:pPr>
        <w:spacing w:after="140"/>
      </w:pPr>
      <w:r>
        <w:rPr>
          <w:rFonts w:ascii="Arial" w:cs="Arial" w:eastAsia="Arial" w:hAnsi="Arial"/>
          <w:i/>
          <w:iCs/>
          <w:color w:val="16243E"/>
          <w:sz w:val="22"/>
          <w:szCs w:val="22"/>
        </w:rPr>
        <w:t xml:space="preserve">A buyer wants to know what happens to a mortgage lien if the property is later sold to a new owner who does not assume the loan.</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existing mortgage lien must generally be satisfied (paid off) at or before closing so clear title can pass to the new buyer</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lien transfers to the real estate agent involved in the sale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lien automatically disappears upon any sale of the property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new buyer automatically inherits the seller's original interest rate and loan balance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Typically, sale proceeds are used to pay off the existing mortgage at closing so that the property conveys with clear title, unless the loan is specifically assumed.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lien attaches to the property and relevant parties to the loan, not to an unrelated third party like the real estate agent.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lien does not simply vanish; it must be addressed as part of the closing process.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Absent a formal loan assumption, the new buyer does not automatically inherit the seller's exact loan terms; a new loan is typically originated instead.</w:t>
      </w:r>
    </w:p>
    <w:p>
      <w:pPr>
        <w:spacing w:after="60" w:before="260"/>
      </w:pPr>
      <w:r>
        <w:rPr>
          <w:rFonts w:ascii="Arial" w:cs="Arial" w:eastAsia="Arial" w:hAnsi="Arial"/>
          <w:b/>
          <w:bCs/>
          <w:color w:val="C13A18"/>
          <w:sz w:val="18"/>
          <w:szCs w:val="18"/>
        </w:rPr>
        <w:t xml:space="preserve">QUESTION GA-148</w:t>
      </w:r>
    </w:p>
    <w:p>
      <w:pPr>
        <w:spacing w:after="140"/>
      </w:pPr>
      <w:r>
        <w:rPr>
          <w:rFonts w:ascii="Arial" w:cs="Arial" w:eastAsia="Arial" w:hAnsi="Arial"/>
          <w:i/>
          <w:iCs/>
          <w:color w:val="16243E"/>
          <w:sz w:val="22"/>
          <w:szCs w:val="22"/>
        </w:rPr>
        <w:t xml:space="preserve">A licensee wants to know the general purpose of RESPA (Real Estate Settlement Procedures Act) in residential transactions.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RESPA regulates only property tax assessments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RESPA only applies to commercial real estate loans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RESPA sets the maximum commission a broker may charge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RESPA is a federal law aimed at consumer protection in the loan settlement process, including disclosure requirements and limits on certain referral fees/kickbacks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Property tax assessment is handled by local government, not RESPA.</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RESPA primarily applies to federally related residential mortgage loans, not commercial transactions.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Commission amounts are negotiable and not capped by RESPA.</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RESPA requires certain disclosures in the loan settlement process and prohibits things like unearned fees or kickbacks for referrals in connection with federally related mortgage loans.</w:t>
      </w:r>
    </w:p>
    <w:p>
      <w:pPr>
        <w:spacing w:after="60" w:before="260"/>
      </w:pPr>
      <w:r>
        <w:rPr>
          <w:rFonts w:ascii="Arial" w:cs="Arial" w:eastAsia="Arial" w:hAnsi="Arial"/>
          <w:b/>
          <w:bCs/>
          <w:color w:val="C13A18"/>
          <w:sz w:val="18"/>
          <w:szCs w:val="18"/>
        </w:rPr>
        <w:t xml:space="preserve">QUESTION GA-149</w:t>
      </w:r>
    </w:p>
    <w:p>
      <w:pPr>
        <w:spacing w:after="140"/>
      </w:pPr>
      <w:r>
        <w:rPr>
          <w:rFonts w:ascii="Arial" w:cs="Arial" w:eastAsia="Arial" w:hAnsi="Arial"/>
          <w:i/>
          <w:iCs/>
          <w:color w:val="16243E"/>
          <w:sz w:val="22"/>
          <w:szCs w:val="22"/>
        </w:rPr>
        <w:t xml:space="preserve">A licensee refers a buyer to a specific title company and, in exchange, receives an undisclosed fee from that title company for the referral.</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likely violates RESPA's prohibition on undisclosed kickbacks or unearned fees for referrals connected to a federally related mortgage loan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 normal and legal business practice as long as service quality is good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legal because licensees are allowed to receive any referral fee they negotiate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legal as long as it's under $500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RESPA generally prohibits giving or accepting unearned fees or kickbacks for referrals of settlement service business connected to federally related mortgage loans.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Service quality does not excuse an undisclosed kickback arrangement that RESPA is specifically designed to prevent.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Referral fees of this kind are restricted, not freely negotiable without limitation, under RESPA's anti-kickback provisions.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There is no dollar-value safe harbor under RESPA that makes an otherwise prohibited kickback legal.</w:t>
      </w:r>
    </w:p>
    <w:p>
      <w:pPr>
        <w:spacing w:after="60" w:before="260"/>
      </w:pPr>
      <w:r>
        <w:rPr>
          <w:rFonts w:ascii="Arial" w:cs="Arial" w:eastAsia="Arial" w:hAnsi="Arial"/>
          <w:b/>
          <w:bCs/>
          <w:color w:val="C13A18"/>
          <w:sz w:val="18"/>
          <w:szCs w:val="18"/>
        </w:rPr>
        <w:t xml:space="preserve">QUESTION GA-150</w:t>
      </w:r>
    </w:p>
    <w:p>
      <w:pPr>
        <w:spacing w:after="140"/>
      </w:pPr>
      <w:r>
        <w:rPr>
          <w:rFonts w:ascii="Arial" w:cs="Arial" w:eastAsia="Arial" w:hAnsi="Arial"/>
          <w:i/>
          <w:iCs/>
          <w:color w:val="16243E"/>
          <w:sz w:val="22"/>
          <w:szCs w:val="22"/>
        </w:rPr>
        <w:t xml:space="preserve">A buyer wants to know what a 'short sale' generally means.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short sale is only available for commercial property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short sale refers to a transaction that closes unusually fast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A short sale occurs when a lender agrees to accept less than the full amount owed on the mortgage as payoff, often because the property is worth less than the debt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short sale means the seller keeps possession after closing</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Short sales occur in residential transactions as well, not solely commercial ones.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term 'short' refers to the shortfall in payoff amount, not the speed of the closing.</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In a short sale, the lender agrees to release its lien for less than the full mortgage balance, typically because the sale proceeds won't fully satisfy the debt.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Possession normally transfers to the buyer at closing in a short sale just as in any typical sale.</w:t>
      </w:r>
    </w:p>
    <w:p>
      <w:pPr>
        <w:spacing w:after="60" w:before="260"/>
      </w:pPr>
      <w:r>
        <w:rPr>
          <w:rFonts w:ascii="Arial" w:cs="Arial" w:eastAsia="Arial" w:hAnsi="Arial"/>
          <w:b/>
          <w:bCs/>
          <w:color w:val="C13A18"/>
          <w:sz w:val="18"/>
          <w:szCs w:val="18"/>
        </w:rPr>
        <w:t xml:space="preserve">QUESTION GA-151</w:t>
      </w:r>
    </w:p>
    <w:p>
      <w:pPr>
        <w:spacing w:after="140"/>
      </w:pPr>
      <w:r>
        <w:rPr>
          <w:rFonts w:ascii="Arial" w:cs="Arial" w:eastAsia="Arial" w:hAnsi="Arial"/>
          <w:i/>
          <w:iCs/>
          <w:color w:val="16243E"/>
          <w:sz w:val="22"/>
          <w:szCs w:val="22"/>
        </w:rPr>
        <w:t xml:space="preserve">A buyer's loan is a 30-year fixed loan, and they want to understand what 'amortization' means in this context.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Amortization only applies to interest-only loans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Amortization refers to the process of gradually paying off the loan through regular payments that cover both principal and interest over time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Amortization refers to a one-time balloon payment at the end of the term</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Amortization refers to the down payment amount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Interest-only loans specifically defer principal paydown, which is different from, and not required for, the general concept of amortization.</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amortization describes the schedule by which a loan is paid down through regular payments allocated between principal and interest.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standard fully amortizing loan pays off the full balance by the end of the term; balloon payments are a feature of a different loan structure.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down payment is a separate upfront amount, unrelated to the amortization schedule of the loan itself.</w:t>
      </w:r>
    </w:p>
    <w:p>
      <w:pPr>
        <w:spacing w:after="60" w:before="260"/>
      </w:pPr>
      <w:r>
        <w:rPr>
          <w:rFonts w:ascii="Arial" w:cs="Arial" w:eastAsia="Arial" w:hAnsi="Arial"/>
          <w:b/>
          <w:bCs/>
          <w:color w:val="C13A18"/>
          <w:sz w:val="18"/>
          <w:szCs w:val="18"/>
        </w:rPr>
        <w:t xml:space="preserve">QUESTION GA-152</w:t>
      </w:r>
    </w:p>
    <w:p>
      <w:pPr>
        <w:spacing w:after="140"/>
      </w:pPr>
      <w:r>
        <w:rPr>
          <w:rFonts w:ascii="Arial" w:cs="Arial" w:eastAsia="Arial" w:hAnsi="Arial"/>
          <w:i/>
          <w:iCs/>
          <w:color w:val="16243E"/>
          <w:sz w:val="22"/>
          <w:szCs w:val="22"/>
        </w:rPr>
        <w:t xml:space="preserve">A licensee wants to know what a 'balloon payment' means in certain mortgage structures.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balloon payment refers to the buyer's earnest money deposit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balloon payment is required on every fixed-rate 30-year mortgage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 balloon payment is an extra optional payment a borrower may choose to make each month</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A balloon payment is a large lump-sum payment due at the end of a loan term that has not been fully amortized by regular payments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Earnest money is a separate, unrelated deposit made early in a transaction, not a loan payment structure.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standard fully amortizing 30-year fixed mortgage does not include a balloon payment; that is specific to certain non-standard loan structures.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describes an optional extra payment, not the specific structural feature called a balloon payment.</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A balloon payment structure involves smaller regular payments followed by a large remaining lump sum due at the end of the term, since the loan wasn't fully amortized along the way.</w:t>
      </w:r>
    </w:p>
    <w:p>
      <w:pPr>
        <w:spacing w:after="60" w:before="260"/>
      </w:pPr>
      <w:r>
        <w:rPr>
          <w:rFonts w:ascii="Arial" w:cs="Arial" w:eastAsia="Arial" w:hAnsi="Arial"/>
          <w:b/>
          <w:bCs/>
          <w:color w:val="C13A18"/>
          <w:sz w:val="18"/>
          <w:szCs w:val="18"/>
        </w:rPr>
        <w:t xml:space="preserve">QUESTION GA-153</w:t>
      </w:r>
    </w:p>
    <w:p>
      <w:pPr>
        <w:spacing w:after="140"/>
      </w:pPr>
      <w:r>
        <w:rPr>
          <w:rFonts w:ascii="Arial" w:cs="Arial" w:eastAsia="Arial" w:hAnsi="Arial"/>
          <w:i/>
          <w:iCs/>
          <w:color w:val="16243E"/>
          <w:sz w:val="22"/>
          <w:szCs w:val="22"/>
        </w:rPr>
        <w:t xml:space="preserve">A licensee wants to know what happens generally at a real estate closing (settlement).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Closing is the final step where documents are signed, funds are transferred, and ownership of the property is legally conveyed to the buyer</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Closing occurs before the home inspection takes place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Closing only involves the two brokers, without the buyer or seller present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Closing is when the buyer first submits an offer to the seller</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Closing is the culmination of the transaction, where the deed is executed and delivered, funds disburse, and legal ownership transfers to the buyer.</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Inspections and due diligence typically occur earlier in the transaction, before the closing/settlement step.</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Buyers and sellers (or their authorized representatives) are typically central participants in the closing process, along with closing attorneys/agents.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Submitting an offer occurs early in the transaction, well before closing.</w:t>
      </w:r>
    </w:p>
    <w:p>
      <w:pPr>
        <w:spacing w:after="60" w:before="260"/>
      </w:pPr>
      <w:r>
        <w:rPr>
          <w:rFonts w:ascii="Arial" w:cs="Arial" w:eastAsia="Arial" w:hAnsi="Arial"/>
          <w:b/>
          <w:bCs/>
          <w:color w:val="C13A18"/>
          <w:sz w:val="18"/>
          <w:szCs w:val="18"/>
        </w:rPr>
        <w:t xml:space="preserve">QUESTION GA-154</w:t>
      </w:r>
    </w:p>
    <w:p>
      <w:pPr>
        <w:spacing w:after="140"/>
      </w:pPr>
      <w:r>
        <w:rPr>
          <w:rFonts w:ascii="Arial" w:cs="Arial" w:eastAsia="Arial" w:hAnsi="Arial"/>
          <w:i/>
          <w:iCs/>
          <w:color w:val="16243E"/>
          <w:sz w:val="22"/>
          <w:szCs w:val="22"/>
        </w:rPr>
        <w:t xml:space="preserve">A licensee wants to know who is generally authorized to conduct a real estate closing in Georgia.</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Only the buyer's lender may conduct a Georgia closing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Only real estate agents may conduct closings in Georgia</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Georgia generally requires an attorney to supervise or conduct the closing and the preparation/execution of the settlement documents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Any licensed notary may conduct a Georgia real estate closing independently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lender is a party to the transaction but is not, by itself, the entity that conducts the Georgia closing.</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Real estate agents facilitate transactions but are not the parties authorized to conduct the legal closing itself in Georgia.</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Georgia is generally recognized as an attorney-closing state, meaning an attorney is typically involved in supervising or handling the closing process and document preparation.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notary alone, without attorney supervision, is not the standard authorized structure for conducting a Georgia real estate closing.</w:t>
      </w:r>
    </w:p>
    <w:p>
      <w:pPr>
        <w:spacing w:after="60" w:before="260"/>
      </w:pPr>
      <w:r>
        <w:rPr>
          <w:rFonts w:ascii="Arial" w:cs="Arial" w:eastAsia="Arial" w:hAnsi="Arial"/>
          <w:b/>
          <w:bCs/>
          <w:color w:val="C13A18"/>
          <w:sz w:val="18"/>
          <w:szCs w:val="18"/>
        </w:rPr>
        <w:t xml:space="preserve">QUESTION GA-155</w:t>
      </w:r>
    </w:p>
    <w:p>
      <w:pPr>
        <w:spacing w:after="140"/>
      </w:pPr>
      <w:r>
        <w:rPr>
          <w:rFonts w:ascii="Arial" w:cs="Arial" w:eastAsia="Arial" w:hAnsi="Arial"/>
          <w:i/>
          <w:iCs/>
          <w:color w:val="16243E"/>
          <w:sz w:val="22"/>
          <w:szCs w:val="22"/>
        </w:rPr>
        <w:t xml:space="preserve">A buyer wants to know what the term 'seller concessions' refers to in a purchase contract.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Seller concessions refer to the seller's real estate commission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Seller concessions refer to physical repairs the seller must complete before listing the home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Seller concessions are a type of loan program</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Seller concessions generally refer to costs the seller agrees to pay on the buyer's behalf, such as a contribution toward closing costs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Commission is a separate compensation arrangement between the seller and their broker, distinct from concessions made to the buyer.</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Pre-listing repairs are a separate matter from the financial concept of seller concessions.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Seller concessions are a negotiated contract term, not a loan program itself.</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Seller concessions typically describe a negotiated seller contribution toward the buyer's closing costs or other allowable expenses, subject to lender limits.</w:t>
      </w:r>
    </w:p>
    <w:p>
      <w:pPr>
        <w:spacing w:after="60" w:before="260"/>
      </w:pPr>
      <w:r>
        <w:rPr>
          <w:rFonts w:ascii="Arial" w:cs="Arial" w:eastAsia="Arial" w:hAnsi="Arial"/>
          <w:b/>
          <w:bCs/>
          <w:color w:val="C13A18"/>
          <w:sz w:val="18"/>
          <w:szCs w:val="18"/>
        </w:rPr>
        <w:t xml:space="preserve">QUESTION GA-156</w:t>
      </w:r>
    </w:p>
    <w:p>
      <w:pPr>
        <w:spacing w:after="140"/>
      </w:pPr>
      <w:r>
        <w:rPr>
          <w:rFonts w:ascii="Arial" w:cs="Arial" w:eastAsia="Arial" w:hAnsi="Arial"/>
          <w:i/>
          <w:iCs/>
          <w:color w:val="16243E"/>
          <w:sz w:val="22"/>
          <w:szCs w:val="22"/>
        </w:rPr>
        <w:t xml:space="preserve">A licensee wants to know what a 'contingency' generally means in the context of financing a home purchase.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contingency refers only to the home inspection, never financing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contingency has no effect on either party's obligations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 contingency is a guarantee that financing will always be approved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A contingency is a condition that must be satisfied, such as loan approval, for the contract to proceed to closing as written</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Contingencies can cover various conditions, including financing, appraisal, and inspection, not exclusively inspection.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contingency meaningfully affects the parties' obligations by defining conditions under which the contract can proceed or be terminated.</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contingency is a conditional protection, not a guarantee of a particular outcome like automatic approval.</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A financing contingency conditions the buyer's obligation to close on successfully obtaining loan approval under specified terms.</w:t>
      </w:r>
    </w:p>
    <w:p>
      <w:pPr>
        <w:spacing w:after="60" w:before="260"/>
      </w:pPr>
      <w:r>
        <w:rPr>
          <w:rFonts w:ascii="Arial" w:cs="Arial" w:eastAsia="Arial" w:hAnsi="Arial"/>
          <w:b/>
          <w:bCs/>
          <w:color w:val="C13A18"/>
          <w:sz w:val="18"/>
          <w:szCs w:val="18"/>
        </w:rPr>
        <w:t xml:space="preserve">QUESTION GA-157</w:t>
      </w:r>
    </w:p>
    <w:p>
      <w:pPr>
        <w:spacing w:after="140"/>
      </w:pPr>
      <w:r>
        <w:rPr>
          <w:rFonts w:ascii="Arial" w:cs="Arial" w:eastAsia="Arial" w:hAnsi="Arial"/>
          <w:i/>
          <w:iCs/>
          <w:color w:val="16243E"/>
          <w:sz w:val="22"/>
          <w:szCs w:val="22"/>
        </w:rPr>
        <w:t xml:space="preserve">A buyer wants to know what an appraisal is generally used for in a financed transaction.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An appraisal determines the buyer's credit score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An appraisal provides the lender with an independent professional opinion of the property's market value to support the loan amount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An appraisal replaces the need for a home inspection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An appraisal is only required for cash purchases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Credit scoring is a separate process from a property appraisal.</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Lenders require an appraisal to confirm the property's value supports the loan being extended, helping manage lending risk.</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An appraisal assesses value, while an inspection assesses condition; they serve different purposes and one does not replace the other.</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Appraisals are primarily used to support financed transactions; cash purchases often do not require a lender-ordered appraisal at all, though buyers may choose one voluntarily.</w:t>
      </w:r>
    </w:p>
    <w:p>
      <w:pPr>
        <w:spacing w:after="60" w:before="260"/>
      </w:pPr>
      <w:r>
        <w:rPr>
          <w:rFonts w:ascii="Arial" w:cs="Arial" w:eastAsia="Arial" w:hAnsi="Arial"/>
          <w:b/>
          <w:bCs/>
          <w:color w:val="C13A18"/>
          <w:sz w:val="18"/>
          <w:szCs w:val="18"/>
        </w:rPr>
        <w:t xml:space="preserve">QUESTION GA-158</w:t>
      </w:r>
    </w:p>
    <w:p>
      <w:pPr>
        <w:spacing w:after="140"/>
      </w:pPr>
      <w:r>
        <w:rPr>
          <w:rFonts w:ascii="Arial" w:cs="Arial" w:eastAsia="Arial" w:hAnsi="Arial"/>
          <w:i/>
          <w:iCs/>
          <w:color w:val="16243E"/>
          <w:sz w:val="22"/>
          <w:szCs w:val="22"/>
        </w:rPr>
        <w:t xml:space="preserve">A first-time buyer wants to know the general difference between pre-qualification and pre-approval for a mortgage.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Pre-qualification guarantees final loan approval</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Pre-qualification is generally a preliminary, less rigorous estimate, while pre-approval typically involves more thorough verification of the buyer's financial information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Pre-qualification and pre-approval mean exactly the same thing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Pre-approval is only available after the buyer signs a purchase contract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Neither pre-qualification nor pre-approval guarantees final loan approval, which still depends on full underwriting, appraisal, and other conditions.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Pre-qualification is typically a quick, less verified estimate, while pre-approval usually involves the lender reviewing actual documentation, giving buyers a stronger position when making offers.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These terms describe different levels of lender verification and are not interchangeable in practice.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Pre-approval is typically obtained before making an offer, to help buyers act quickly and confidently, not after a contract is already signed.</w:t>
      </w:r>
    </w:p>
    <w:p>
      <w:pPr>
        <w:spacing w:after="60" w:before="260"/>
      </w:pPr>
      <w:r>
        <w:rPr>
          <w:rFonts w:ascii="Arial" w:cs="Arial" w:eastAsia="Arial" w:hAnsi="Arial"/>
          <w:b/>
          <w:bCs/>
          <w:color w:val="C13A18"/>
          <w:sz w:val="18"/>
          <w:szCs w:val="18"/>
        </w:rPr>
        <w:t xml:space="preserve">QUESTION GA-159</w:t>
      </w:r>
    </w:p>
    <w:p>
      <w:pPr>
        <w:spacing w:after="140"/>
      </w:pPr>
      <w:r>
        <w:rPr>
          <w:rFonts w:ascii="Arial" w:cs="Arial" w:eastAsia="Arial" w:hAnsi="Arial"/>
          <w:i/>
          <w:iCs/>
          <w:color w:val="16243E"/>
          <w:sz w:val="22"/>
          <w:szCs w:val="22"/>
        </w:rPr>
        <w:t xml:space="preserve">A licensee wants to know what happens to a buyer's earnest money if the buyer properly terminates during an active, unexpired due diligence period.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buyer generally forfeits the earnest money regardless of proper termination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Earnest money is instead paid directly to the listing broker as compensation</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Under a standard due diligence provision, a buyer who properly and timely terminates during that period is generally entitled to a refund of earnest money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seller decides case-by-case with no contractual standard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Proper termination within an active due diligence period generally does not result in automatic forfeiture under the standard provision.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Earnest money is not simply redirected to the listing broker as compensation upon termination; it is held in trust and disbursed per the contract terms and mutual agreement or dispute resolution.</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The standard due diligence clause is designed precisely so that a timely, proper termination generally preserves the buyer's right to a refund of earnest money.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is governed by the contract's specific terms, not simply left to unilateral seller discretion.</w:t>
      </w:r>
    </w:p>
    <w:p>
      <w:pPr>
        <w:spacing w:after="60" w:before="260"/>
      </w:pPr>
      <w:r>
        <w:rPr>
          <w:rFonts w:ascii="Arial" w:cs="Arial" w:eastAsia="Arial" w:hAnsi="Arial"/>
          <w:b/>
          <w:bCs/>
          <w:color w:val="C13A18"/>
          <w:sz w:val="18"/>
          <w:szCs w:val="18"/>
        </w:rPr>
        <w:t xml:space="preserve">QUESTION GA-160</w:t>
      </w:r>
    </w:p>
    <w:p>
      <w:pPr>
        <w:spacing w:after="140"/>
      </w:pPr>
      <w:r>
        <w:rPr>
          <w:rFonts w:ascii="Arial" w:cs="Arial" w:eastAsia="Arial" w:hAnsi="Arial"/>
          <w:i/>
          <w:iCs/>
          <w:color w:val="16243E"/>
          <w:sz w:val="22"/>
          <w:szCs w:val="22"/>
        </w:rPr>
        <w:t xml:space="preserve">A buyer wants to know generally what the term 'closing costs' includes, beyond the purchase price itself.</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Closing costs are paid entirely by the seller in every transaction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Closing costs refer only to the real estate agents' commissions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Closing costs generally include various fees such as loan origination charges, title insurance, recording fees, and prepaid items like taxes or insurance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Closing costs are always a fixed percentage set by Georgia law</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Responsibility for closing costs is negotiated between buyer and seller and varies by transaction; it is not always assigned entirely to the seller.</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Commissions are one possible cost among many, not the sole definition of closing costs.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Closing costs typically bundle several categories of fees and prepaid items associated with financing and transferring the property, beyond just the purchase price.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There is no single fixed statutory percentage in Georgia that defines closing costs; the amount varies based on the specific transaction and negotiated terms.</w:t>
      </w:r>
    </w:p>
    <w:p>
      <w:pPr>
        <w:spacing w:after="60" w:before="260"/>
      </w:pPr>
      <w:r>
        <w:rPr>
          <w:rFonts w:ascii="Arial" w:cs="Arial" w:eastAsia="Arial" w:hAnsi="Arial"/>
          <w:b/>
          <w:bCs/>
          <w:color w:val="C13A18"/>
          <w:sz w:val="18"/>
          <w:szCs w:val="18"/>
        </w:rPr>
        <w:t xml:space="preserve">QUESTION GA-161</w:t>
      </w:r>
    </w:p>
    <w:p>
      <w:pPr>
        <w:spacing w:after="140"/>
      </w:pPr>
      <w:r>
        <w:rPr>
          <w:rFonts w:ascii="Arial" w:cs="Arial" w:eastAsia="Arial" w:hAnsi="Arial"/>
          <w:i/>
          <w:iCs/>
          <w:color w:val="16243E"/>
          <w:sz w:val="22"/>
          <w:szCs w:val="22"/>
        </w:rPr>
        <w:t xml:space="preserve">A buyer wants to know what a 'lock-in' or 'rate lock' means when discussing their mortgage interest rate.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A rate lock is a lender's commitment to hold a specific interest rate for the buyer for a defined period while the loan is processed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rate lock permanently prevents the buyer from ever refinancing later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 rate lock guarantees the home's sale price will not change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rate lock refers to locking the front door at closing</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A rate lock protects the borrower from rate increases during a defined window while the loan application is processed toward closing.</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rate lock does not affect the buyer's future ability to refinance; those are unrelated concepts.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rate lock pertains to the interest rate on financing, not the negotiated purchase price of the property.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confuses the financial term with an unrelated literal meaning about a physical door lock.</w:t>
      </w:r>
    </w:p>
    <w:p>
      <w:pPr>
        <w:spacing w:after="60" w:before="260"/>
      </w:pPr>
      <w:r>
        <w:rPr>
          <w:rFonts w:ascii="Arial" w:cs="Arial" w:eastAsia="Arial" w:hAnsi="Arial"/>
          <w:b/>
          <w:bCs/>
          <w:color w:val="C13A18"/>
          <w:sz w:val="18"/>
          <w:szCs w:val="18"/>
        </w:rPr>
        <w:t xml:space="preserve">QUESTION GA-162</w:t>
      </w:r>
    </w:p>
    <w:p>
      <w:pPr>
        <w:spacing w:after="140"/>
      </w:pPr>
      <w:r>
        <w:rPr>
          <w:rFonts w:ascii="Arial" w:cs="Arial" w:eastAsia="Arial" w:hAnsi="Arial"/>
          <w:i/>
          <w:iCs/>
          <w:color w:val="16243E"/>
          <w:sz w:val="22"/>
          <w:szCs w:val="22"/>
        </w:rPr>
        <w:t xml:space="preserve">A licensee wants to know the purpose of a home warranty sometimes offered as part of a real estate transaction.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home warranty replaces the need for a home inspection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home warranty guarantees the home will increase in value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A home warranty is a service contract that typically covers repair or replacement of certain home systems and appliances for a defined period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home warranty is legally required on every Georgia home sale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home warranty addresses future repair costs after purchase; it does not substitute for assessing current condition through an inspection.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home warranty has nothing to do with guaranteeing future appreciation in value.</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A home warranty is a service contract, separate from insurance, that typically covers repair or replacement of specified systems/appliances for a set term.</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Home warranties are optional and commonly negotiated, not a Georgia legal requirement for every sale.</w:t>
      </w:r>
    </w:p>
    <w:p>
      <w:pPr>
        <w:spacing w:after="60" w:before="260"/>
      </w:pPr>
      <w:r>
        <w:rPr>
          <w:rFonts w:ascii="Arial" w:cs="Arial" w:eastAsia="Arial" w:hAnsi="Arial"/>
          <w:b/>
          <w:bCs/>
          <w:color w:val="C13A18"/>
          <w:sz w:val="18"/>
          <w:szCs w:val="18"/>
        </w:rPr>
        <w:t xml:space="preserve">QUESTION GA-163</w:t>
      </w:r>
    </w:p>
    <w:p>
      <w:pPr>
        <w:spacing w:after="140"/>
      </w:pPr>
      <w:r>
        <w:rPr>
          <w:rFonts w:ascii="Arial" w:cs="Arial" w:eastAsia="Arial" w:hAnsi="Arial"/>
          <w:i/>
          <w:iCs/>
          <w:color w:val="16243E"/>
          <w:sz w:val="22"/>
          <w:szCs w:val="22"/>
        </w:rPr>
        <w:t xml:space="preserve">A buyer wants to know what 'subject to' financing means when described in a real estate transaction, as distinct from a formal loan assumption.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It means the property is not eligible for a mortgage at all</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It means the buyer takes title while the existing loan stays in the seller's name, with the buyer making payments but not formally assuming lender liability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It means the buyer must formally qualify with the lender exactly as with a new loan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It means the seller retains ownership indefinitely after closing</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property itself isn't rendered ineligible for financing; this term instead describes an alternative way of handling existing financing.</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in a 'subject to' arrangement, the buyer takes title and makes payments on the existing loan, but the loan legally remains in the seller's name, distinct from a formal assumption where the buyer takes on direct lender liability.</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describes a formal assumption process, not the 'subject to' concept, which does not require the same lender qualification since the seller's loan stays in place.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In this arrangement, title actually transfers to the buyer at closing; the seller does not retain ownership.</w:t>
      </w:r>
    </w:p>
    <w:p>
      <w:pPr>
        <w:spacing w:after="60" w:before="260"/>
      </w:pPr>
      <w:r>
        <w:rPr>
          <w:rFonts w:ascii="Arial" w:cs="Arial" w:eastAsia="Arial" w:hAnsi="Arial"/>
          <w:b/>
          <w:bCs/>
          <w:color w:val="C13A18"/>
          <w:sz w:val="18"/>
          <w:szCs w:val="18"/>
        </w:rPr>
        <w:t xml:space="preserve">QUESTION GA-164</w:t>
      </w:r>
    </w:p>
    <w:p>
      <w:pPr>
        <w:spacing w:after="140"/>
      </w:pPr>
      <w:r>
        <w:rPr>
          <w:rFonts w:ascii="Arial" w:cs="Arial" w:eastAsia="Arial" w:hAnsi="Arial"/>
          <w:i/>
          <w:iCs/>
          <w:color w:val="16243E"/>
          <w:sz w:val="22"/>
          <w:szCs w:val="22"/>
        </w:rPr>
        <w:t xml:space="preserve">A licensee wants to know what 'assumption' means in the context of an existing mortgage on a property being sold.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Assumption means the seller remains solely responsible for the loan forever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Assumption automatically changes the interest rate to the current market rate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Assumption is not permitted for any loan type in Georgia</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Assumption means the new buyer formally takes over the existing loan obligation, subject to lender approval where required</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Assumption specifically shifts responsibility to the new buyer rather than leaving the seller solely and permanently responsible.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key feature of many assumable loans is that the buyer often keeps the existing interest rate rather than it resetting to current market rates.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Certain loan types, such as some FHA and VA loans, are specifically structured to be assumable, subject to conditions, so a blanket prohibition is inaccurate.</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a loan assumption is the formal transfer of the loan obligation to the new buyer, typically requiring lender approval and qualification depending on the loan type.</w:t>
      </w:r>
    </w:p>
    <w:p>
      <w:pPr>
        <w:spacing w:after="60" w:before="260"/>
      </w:pPr>
      <w:r>
        <w:rPr>
          <w:rFonts w:ascii="Arial" w:cs="Arial" w:eastAsia="Arial" w:hAnsi="Arial"/>
          <w:b/>
          <w:bCs/>
          <w:color w:val="C13A18"/>
          <w:sz w:val="18"/>
          <w:szCs w:val="18"/>
        </w:rPr>
        <w:t xml:space="preserve">QUESTION GA-165</w:t>
      </w:r>
    </w:p>
    <w:p>
      <w:pPr>
        <w:spacing w:after="140"/>
      </w:pPr>
      <w:r>
        <w:rPr>
          <w:rFonts w:ascii="Arial" w:cs="Arial" w:eastAsia="Arial" w:hAnsi="Arial"/>
          <w:i/>
          <w:iCs/>
          <w:color w:val="16243E"/>
          <w:sz w:val="22"/>
          <w:szCs w:val="22"/>
        </w:rPr>
        <w:t xml:space="preserve">A buyer wants to know what a 'deed in lieu of foreclosure' generally accomplishes for a struggling borrower.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It is only available for commercial mortgages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It allows the borrower to voluntarily transfer the property back to the lender to satisfy the debt and potentially avoid a formal foreclosure process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It automatically erases the borrower's credit history entirely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It allows the borrower to keep the home while stopping all payments permanently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option is available for residential borrowers as well, not solely commercial ones.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A deed in lieu of foreclosure lets a struggling borrower voluntarily deed the property to the lender, which can be a less damaging alternative to going through a full foreclosure process.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does not erase credit history; it is still a negative event that gets reported, though it may be viewed somewhat differently than a completed foreclosure by some lenders.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option does not let the borrower keep the home; it involves giving up the property.</w:t>
      </w:r>
    </w:p>
    <w:p>
      <w:r>
        <w:br w:type="page"/>
      </w:r>
    </w:p>
    <w:p>
      <w:pPr>
        <w:pStyle w:val="Heading1"/>
        <w:spacing w:after="60" w:before="200"/>
      </w:pPr>
      <w:r>
        <w:rPr>
          <w:rFonts w:ascii="Arial" w:cs="Arial" w:eastAsia="Arial" w:hAnsi="Arial"/>
          <w:color w:val="16243E"/>
        </w:rPr>
        <w:t xml:space="preserve">Ownership, Descriptions &amp; Math</w:t>
      </w:r>
    </w:p>
    <w:p>
      <w:pPr>
        <w:pBdr>
          <w:bottom w:val="single" w:color="E5431F" w:sz="8" w:space="4"/>
        </w:pBdr>
        <w:spacing w:after="300"/>
      </w:pPr>
      <w:r>
        <w:rPr>
          <w:rFonts w:ascii="Arial" w:cs="Arial" w:eastAsia="Arial" w:hAnsi="Arial"/>
          <w:i/>
          <w:iCs/>
          <w:color w:val="677081"/>
          <w:sz w:val="18"/>
          <w:szCs w:val="18"/>
        </w:rPr>
        <w:t xml:space="preserve">35 questions in this section</w:t>
      </w:r>
    </w:p>
    <w:p>
      <w:pPr>
        <w:spacing w:after="60" w:before="260"/>
      </w:pPr>
      <w:r>
        <w:rPr>
          <w:rFonts w:ascii="Arial" w:cs="Arial" w:eastAsia="Arial" w:hAnsi="Arial"/>
          <w:b/>
          <w:bCs/>
          <w:color w:val="C13A18"/>
          <w:sz w:val="18"/>
          <w:szCs w:val="18"/>
        </w:rPr>
        <w:t xml:space="preserve">QUESTION GA-166</w:t>
      </w:r>
    </w:p>
    <w:p>
      <w:pPr>
        <w:spacing w:after="140"/>
      </w:pPr>
      <w:r>
        <w:rPr>
          <w:rFonts w:ascii="Arial" w:cs="Arial" w:eastAsia="Arial" w:hAnsi="Arial"/>
          <w:i/>
          <w:iCs/>
          <w:color w:val="16243E"/>
          <w:sz w:val="22"/>
          <w:szCs w:val="22"/>
        </w:rPr>
        <w:t xml:space="preserve">Two unmarried co-owners hold title together and want to know that if one dies, their share passes to their own heirs rather than automatically to the other owner.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describes a life estate arrangement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describes joint tenancy with right of survivorship</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describes tenancy in common, where each owner's interest passes to their own heirs rather than automatically to the co-owner</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describes tenancy by the entirety, which is exclusive to married couples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life estate involves a different structure entirely, tied to someone's lifetime interest, not co-ownership passing to individual heirs.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Joint tenancy with right of survivorship specifically passes the deceased owner's share to the surviving co-owner(s), the opposite of what's described here.</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Tenancy in common allows each owner's interest to pass according to their own estate plan or intestacy rules, rather than automatically to the co-owner, matching the scenario.</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Tenancy by the entirety is indeed limited to married couples, but it also includes survivorship rights, which is not what's described here.</w:t>
      </w:r>
    </w:p>
    <w:p>
      <w:pPr>
        <w:spacing w:after="60" w:before="260"/>
      </w:pPr>
      <w:r>
        <w:rPr>
          <w:rFonts w:ascii="Arial" w:cs="Arial" w:eastAsia="Arial" w:hAnsi="Arial"/>
          <w:b/>
          <w:bCs/>
          <w:color w:val="C13A18"/>
          <w:sz w:val="18"/>
          <w:szCs w:val="18"/>
        </w:rPr>
        <w:t xml:space="preserve">QUESTION GA-167</w:t>
      </w:r>
    </w:p>
    <w:p>
      <w:pPr>
        <w:spacing w:after="140"/>
      </w:pPr>
      <w:r>
        <w:rPr>
          <w:rFonts w:ascii="Arial" w:cs="Arial" w:eastAsia="Arial" w:hAnsi="Arial"/>
          <w:i/>
          <w:iCs/>
          <w:color w:val="16243E"/>
          <w:sz w:val="22"/>
          <w:szCs w:val="22"/>
        </w:rPr>
        <w:t xml:space="preserve">A married couple wants a form of ownership available in some states that provides survivorship rights and special creditor protections exclusive to spouses.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Tenancy by the entirety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Tenancy in common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Life estate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Sole ownership</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Tenancy by the entirety is a marital ownership form providing survivorship rights along with certain creditor protections specific to spouses.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Tenancy in common does not include survivorship rights or the special spousal creditor protections described.</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life estate is a different ownership structure tied to a measuring life, not a spousal co-ownership form with these features.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Sole ownership involves only one owner and does not describe a co-ownership arrangement between spouses.</w:t>
      </w:r>
    </w:p>
    <w:p>
      <w:pPr>
        <w:spacing w:after="60" w:before="260"/>
      </w:pPr>
      <w:r>
        <w:rPr>
          <w:rFonts w:ascii="Arial" w:cs="Arial" w:eastAsia="Arial" w:hAnsi="Arial"/>
          <w:b/>
          <w:bCs/>
          <w:color w:val="C13A18"/>
          <w:sz w:val="18"/>
          <w:szCs w:val="18"/>
        </w:rPr>
        <w:t xml:space="preserve">QUESTION GA-168</w:t>
      </w:r>
    </w:p>
    <w:p>
      <w:pPr>
        <w:spacing w:after="140"/>
      </w:pPr>
      <w:r>
        <w:rPr>
          <w:rFonts w:ascii="Arial" w:cs="Arial" w:eastAsia="Arial" w:hAnsi="Arial"/>
          <w:i/>
          <w:iCs/>
          <w:color w:val="16243E"/>
          <w:sz w:val="22"/>
          <w:szCs w:val="22"/>
        </w:rPr>
        <w:t xml:space="preserve">A property owner grants a neighbor the right to cross their land to access a landlocked parcel, without transferring ownership of any land.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describes a life estate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This describes an easement, a non-possessory right to use another's land for a specific purpose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describes a fee simple transfer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describes a leasehold interest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life estate involves an ownership interest measured by a lifetime, which is not what's being granted here.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An easement grants a non-possessory right to use land for a specific purpose, such as access, without transferring ownership.</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fee simple transfer would involve conveying ownership itself, not merely a right to cross the land.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leasehold interest involves a tenant's right to possess property under a lease, which differs from a mere right of access like an easement.</w:t>
      </w:r>
    </w:p>
    <w:p>
      <w:pPr>
        <w:spacing w:after="60" w:before="260"/>
      </w:pPr>
      <w:r>
        <w:rPr>
          <w:rFonts w:ascii="Arial" w:cs="Arial" w:eastAsia="Arial" w:hAnsi="Arial"/>
          <w:b/>
          <w:bCs/>
          <w:color w:val="C13A18"/>
          <w:sz w:val="18"/>
          <w:szCs w:val="18"/>
        </w:rPr>
        <w:t xml:space="preserve">QUESTION GA-169</w:t>
      </w:r>
    </w:p>
    <w:p>
      <w:pPr>
        <w:spacing w:after="140"/>
      </w:pPr>
      <w:r>
        <w:rPr>
          <w:rFonts w:ascii="Arial" w:cs="Arial" w:eastAsia="Arial" w:hAnsi="Arial"/>
          <w:i/>
          <w:iCs/>
          <w:color w:val="16243E"/>
          <w:sz w:val="22"/>
          <w:szCs w:val="22"/>
        </w:rPr>
        <w:t xml:space="preserve">A landlocked property owner has no legal access to a public road except by crossing a neighbor's land, and there is no existing recorded easement.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owner may be able to pursue an easement by necessity, since some legal systems recognize a right of access for landlocked parcels under appropriate circumstances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owner has no legal remedy and must remain landlocked permanently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owner must purchase the neighbor's entire property to gain access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owner can simply cross the neighbor's land without any legal basis or consequence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An easement by necessity is a recognized legal concept that can provide landlocked owners a right of access across neighboring land under the right circumstances.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Legal doctrines exist specifically to address this landlocked scenario, so 'no remedy' overstates the owner's situation.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Purchasing the entire neighboring property is an extreme and unnecessary step when a more limited easement can address the access problem.</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Crossing without legal basis could expose the owner to a trespass claim; a proper legal easement is the appropriate route.</w:t>
      </w:r>
    </w:p>
    <w:p>
      <w:pPr>
        <w:spacing w:after="60" w:before="260"/>
      </w:pPr>
      <w:r>
        <w:rPr>
          <w:rFonts w:ascii="Arial" w:cs="Arial" w:eastAsia="Arial" w:hAnsi="Arial"/>
          <w:b/>
          <w:bCs/>
          <w:color w:val="C13A18"/>
          <w:sz w:val="18"/>
          <w:szCs w:val="18"/>
        </w:rPr>
        <w:t xml:space="preserve">QUESTION GA-170</w:t>
      </w:r>
    </w:p>
    <w:p>
      <w:pPr>
        <w:spacing w:after="140"/>
      </w:pPr>
      <w:r>
        <w:rPr>
          <w:rFonts w:ascii="Arial" w:cs="Arial" w:eastAsia="Arial" w:hAnsi="Arial"/>
          <w:i/>
          <w:iCs/>
          <w:color w:val="16243E"/>
          <w:sz w:val="22"/>
          <w:szCs w:val="22"/>
        </w:rPr>
        <w:t xml:space="preserve">A city enacts a zoning ordinance limiting building height in a residential district. A property owner argues this restricts their use of their land.</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Zoning is a recognized exercise of a government's police power to regulate land use for public welfare, and reasonable zoning restrictions are generally valid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Zoning ordinances are always unconstitutional restrictions on private property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Zoning only applies to commercial property, never residential</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Property owners can always ignore zoning ordinances if they disagree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Zoning power stems from the government's police power to regulate land use in the interest of public health, safety, and welfare, and courts generally uphold reasonable zoning restrictions.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Reasonable zoning ordinances are a well-established and generally valid exercise of government authority, not inherently unconstitutional.</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Zoning ordinances commonly apply to residential districts, as illustrated in this very scenario.</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Ignoring a validly enacted zoning ordinance can expose an owner to enforcement action; disagreement alone doesn't excuse non-compliance.</w:t>
      </w:r>
    </w:p>
    <w:p>
      <w:pPr>
        <w:spacing w:after="60" w:before="260"/>
      </w:pPr>
      <w:r>
        <w:rPr>
          <w:rFonts w:ascii="Arial" w:cs="Arial" w:eastAsia="Arial" w:hAnsi="Arial"/>
          <w:b/>
          <w:bCs/>
          <w:color w:val="C13A18"/>
          <w:sz w:val="18"/>
          <w:szCs w:val="18"/>
        </w:rPr>
        <w:t xml:space="preserve">QUESTION GA-171</w:t>
      </w:r>
    </w:p>
    <w:p>
      <w:pPr>
        <w:spacing w:after="140"/>
      </w:pPr>
      <w:r>
        <w:rPr>
          <w:rFonts w:ascii="Arial" w:cs="Arial" w:eastAsia="Arial" w:hAnsi="Arial"/>
          <w:i/>
          <w:iCs/>
          <w:color w:val="16243E"/>
          <w:sz w:val="22"/>
          <w:szCs w:val="22"/>
        </w:rPr>
        <w:t xml:space="preserve">A property owner wants to build an addition that would violate a setback requirement, but claims unique lot characteristics make compliance impractical.</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Variances are never granted under any circumstances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owner has no options and must abandon the project entirely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owner can simply proceed with construction and pay a small fine later</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owner may be able to apply for a variance, which allows deviation from a zoning requirement under specific hardship circumstances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Variances are granted in appropriate hardship cases; they are a normal part of zoning administration, not something that never happens.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a recognized process for this exact situation, so 'no options' is inaccurate.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Proceeding without proper approval risks more significant enforcement consequences than a simple fine, and is not the correct/lawful approach.</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A variance is the standard zoning mechanism allowing deviation from a specific requirement when a property's unique circumstances create genuine hardship, subject to approval by the relevant authority.</w:t>
      </w:r>
    </w:p>
    <w:p>
      <w:pPr>
        <w:spacing w:after="60" w:before="260"/>
      </w:pPr>
      <w:r>
        <w:rPr>
          <w:rFonts w:ascii="Arial" w:cs="Arial" w:eastAsia="Arial" w:hAnsi="Arial"/>
          <w:b/>
          <w:bCs/>
          <w:color w:val="C13A18"/>
          <w:sz w:val="18"/>
          <w:szCs w:val="18"/>
        </w:rPr>
        <w:t xml:space="preserve">QUESTION GA-172</w:t>
      </w:r>
    </w:p>
    <w:p>
      <w:pPr>
        <w:spacing w:after="140"/>
      </w:pPr>
      <w:r>
        <w:rPr>
          <w:rFonts w:ascii="Arial" w:cs="Arial" w:eastAsia="Arial" w:hAnsi="Arial"/>
          <w:i/>
          <w:iCs/>
          <w:color w:val="16243E"/>
          <w:sz w:val="22"/>
          <w:szCs w:val="22"/>
        </w:rPr>
        <w:t xml:space="preserve">A property has a legal description using the metes and bounds method. A licensee wants to understand what this method describes.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It describes property only by street address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It describes property using a rectangular government survey grid of townships and ranges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It describes property boundaries using directions, distances, and a defined point of beginning, tracing the perimeter of the parcel</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It describes property using recorded lot and block numbers within a subdivision plat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street address is an informal reference, not a formal legal description method like metes and bounds.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describes the rectangular/government survey system, a different legal description method than metes and bounds.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Metes and bounds traces a property's boundary using compass directions and distances starting and ending at a defined point of beginning.</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describes the lot-and-block method used in platted subdivisions, which differs from metes and bounds.</w:t>
      </w:r>
    </w:p>
    <w:p>
      <w:pPr>
        <w:spacing w:after="60" w:before="260"/>
      </w:pPr>
      <w:r>
        <w:rPr>
          <w:rFonts w:ascii="Arial" w:cs="Arial" w:eastAsia="Arial" w:hAnsi="Arial"/>
          <w:b/>
          <w:bCs/>
          <w:color w:val="C13A18"/>
          <w:sz w:val="18"/>
          <w:szCs w:val="18"/>
        </w:rPr>
        <w:t xml:space="preserve">QUESTION GA-173</w:t>
      </w:r>
    </w:p>
    <w:p>
      <w:pPr>
        <w:spacing w:after="140"/>
      </w:pPr>
      <w:r>
        <w:rPr>
          <w:rFonts w:ascii="Arial" w:cs="Arial" w:eastAsia="Arial" w:hAnsi="Arial"/>
          <w:i/>
          <w:iCs/>
          <w:color w:val="16243E"/>
          <w:sz w:val="22"/>
          <w:szCs w:val="22"/>
        </w:rPr>
        <w:t xml:space="preserve">A subdivision property's legal description references 'Lot 14, Block C, of the XYZ Subdivision, as recorded in Plat Book 22, Page 8.' A licensee wants to identify this method.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the metes and bounds method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an informal description with no legal validity</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is the lot and block (recorded plat) method, referencing a subdivision plat recorded in the public records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the government rectangular survey method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Metes and bounds relies on directions and distances, not references to a recorded plat with lot and block numbers.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properly recorded plat reference is a legally valid and commonly used method of describing property in subdivisions.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describes the lot and block method, where a parcel is identified by its lot and block number as shown on a recorded subdivision plat.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government rectangular survey system uses townships, ranges, and sections, not lot and block references to a plat.</w:t>
      </w:r>
    </w:p>
    <w:p>
      <w:pPr>
        <w:spacing w:after="60" w:before="260"/>
      </w:pPr>
      <w:r>
        <w:rPr>
          <w:rFonts w:ascii="Arial" w:cs="Arial" w:eastAsia="Arial" w:hAnsi="Arial"/>
          <w:b/>
          <w:bCs/>
          <w:color w:val="C13A18"/>
          <w:sz w:val="18"/>
          <w:szCs w:val="18"/>
        </w:rPr>
        <w:t xml:space="preserve">QUESTION GA-174</w:t>
      </w:r>
    </w:p>
    <w:p>
      <w:pPr>
        <w:spacing w:after="140"/>
      </w:pPr>
      <w:r>
        <w:rPr>
          <w:rFonts w:ascii="Arial" w:cs="Arial" w:eastAsia="Arial" w:hAnsi="Arial"/>
          <w:i/>
          <w:iCs/>
          <w:color w:val="16243E"/>
          <w:sz w:val="22"/>
          <w:szCs w:val="22"/>
        </w:rPr>
        <w:t xml:space="preserve">A buyer wants to know what a 'fee simple absolute' estate represents, as compared to a life estate.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Fee simple absolute is the greatest form of ownership interest, with no time limitation on the owner's rights, unlike a life estate which ends at someone's death</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Fee simple absolute means the owner only holds rights during their own lifetime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Fee simple absolute and a life estate are identical in duration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Fee simple absolute automatically transfers to the state upon the owner's death</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fee simple absolute is the most complete ownership interest, unlimited in duration, in contrast to a life estate which is limited to a measuring life.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describes a life estate, not fee simple absolute, which continues indefinitely and can be passed to heirs or devisees.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These are structurally different: a life estate has a defined end tied to a life, while fee simple absolute has no such durational limit.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Fee simple absolute property passes according to the owner's will or the laws of intestacy, not automatically to the state, absent very specific circumstances like true escheat with no heirs.</w:t>
      </w:r>
    </w:p>
    <w:p>
      <w:pPr>
        <w:spacing w:after="60" w:before="260"/>
      </w:pPr>
      <w:r>
        <w:rPr>
          <w:rFonts w:ascii="Arial" w:cs="Arial" w:eastAsia="Arial" w:hAnsi="Arial"/>
          <w:b/>
          <w:bCs/>
          <w:color w:val="C13A18"/>
          <w:sz w:val="18"/>
          <w:szCs w:val="18"/>
        </w:rPr>
        <w:t xml:space="preserve">QUESTION GA-175</w:t>
      </w:r>
    </w:p>
    <w:p>
      <w:pPr>
        <w:spacing w:after="140"/>
      </w:pPr>
      <w:r>
        <w:rPr>
          <w:rFonts w:ascii="Arial" w:cs="Arial" w:eastAsia="Arial" w:hAnsi="Arial"/>
          <w:i/>
          <w:iCs/>
          <w:color w:val="16243E"/>
          <w:sz w:val="22"/>
          <w:szCs w:val="22"/>
        </w:rPr>
        <w:t xml:space="preserve">A property owner grants a life estate to their sibling, with the remainder interest passing to their own children upon the sibling's death.</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sibling's interest ends automatically at their death, and the remainder interest then vests in the owner's children as planned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sibling holding the life estate can freely will the property to whomever they choose upon death</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children hold no real interest until the original owner also dies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arrangement is not legally valid in real property law</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the defining feature of a life estate with a remainder: the life tenant's interest terminates at death, and the remainder interest then vests in the named remaindermen.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life estate holder's interest is limited to their own lifetime and cannot be passed via will beyond that point; it simply ends.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children hold a real, presently existing remainder interest from the time the life estate is created; they just don't gain possession until the life tenant's death.</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Life estates with remainder interests are a well-established, legally valid property arrangement.</w:t>
      </w:r>
    </w:p>
    <w:p>
      <w:pPr>
        <w:spacing w:after="60" w:before="260"/>
      </w:pPr>
      <w:r>
        <w:rPr>
          <w:rFonts w:ascii="Arial" w:cs="Arial" w:eastAsia="Arial" w:hAnsi="Arial"/>
          <w:b/>
          <w:bCs/>
          <w:color w:val="C13A18"/>
          <w:sz w:val="18"/>
          <w:szCs w:val="18"/>
        </w:rPr>
        <w:t xml:space="preserve">QUESTION GA-176</w:t>
      </w:r>
    </w:p>
    <w:p>
      <w:pPr>
        <w:spacing w:after="140"/>
      </w:pPr>
      <w:r>
        <w:rPr>
          <w:rFonts w:ascii="Arial" w:cs="Arial" w:eastAsia="Arial" w:hAnsi="Arial"/>
          <w:i/>
          <w:iCs/>
          <w:color w:val="16243E"/>
          <w:sz w:val="22"/>
          <w:szCs w:val="22"/>
        </w:rPr>
        <w:t xml:space="preserve">A licensee wants to know what a 'restrictive covenant' in a subdivision's recorded documents typically does.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It only applies to commercial subdivisions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It creates private, enforceable limitations on how property within the subdivision can be used, often enforced by an HOA or neighboring owners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It automatically expires after one year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It grants the government eminent domain power over the subdivision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Restrictive covenants are widely used in residential subdivisions, not limited to commercial developments.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Restrictive covenants are private agreements, recorded against the property, that limit permissible uses and are typically enforceable by the HOA or other property owners within the subdivision.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Restrictive covenants commonly run with the land for extended periods and are not automatically limited to one year.</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Eminent domain is a government power unrelated to privately created restrictive covenants.</w:t>
      </w:r>
    </w:p>
    <w:p>
      <w:pPr>
        <w:spacing w:after="60" w:before="260"/>
      </w:pPr>
      <w:r>
        <w:rPr>
          <w:rFonts w:ascii="Arial" w:cs="Arial" w:eastAsia="Arial" w:hAnsi="Arial"/>
          <w:b/>
          <w:bCs/>
          <w:color w:val="C13A18"/>
          <w:sz w:val="18"/>
          <w:szCs w:val="18"/>
        </w:rPr>
        <w:t xml:space="preserve">QUESTION GA-177</w:t>
      </w:r>
    </w:p>
    <w:p>
      <w:pPr>
        <w:spacing w:after="140"/>
      </w:pPr>
      <w:r>
        <w:rPr>
          <w:rFonts w:ascii="Arial" w:cs="Arial" w:eastAsia="Arial" w:hAnsi="Arial"/>
          <w:i/>
          <w:iCs/>
          <w:color w:val="16243E"/>
          <w:sz w:val="22"/>
          <w:szCs w:val="22"/>
        </w:rPr>
        <w:t xml:space="preserve">A city wants to acquire a portion of private land to widen a public road, offering the owner just compensation.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describes a deed restriction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describes escheat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describes eminent domain, the government's power to take private property for public use with just compensation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describes adverse possession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deed restriction is a private limitation on use, not a government power to acquire land.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Escheat refers to property passing to the state when an owner dies without heirs or a will, unrelated to this road-widening scenario.</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Eminent domain is the recognized government power to take private property for public use, provided the owner receives just compensation.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Adverse possession involves a private party gaining ownership through open, notorious, and continuous possession over time, not a government taking.</w:t>
      </w:r>
    </w:p>
    <w:p>
      <w:pPr>
        <w:spacing w:after="60" w:before="260"/>
      </w:pPr>
      <w:r>
        <w:rPr>
          <w:rFonts w:ascii="Arial" w:cs="Arial" w:eastAsia="Arial" w:hAnsi="Arial"/>
          <w:b/>
          <w:bCs/>
          <w:color w:val="C13A18"/>
          <w:sz w:val="18"/>
          <w:szCs w:val="18"/>
        </w:rPr>
        <w:t xml:space="preserve">QUESTION GA-178</w:t>
      </w:r>
    </w:p>
    <w:p>
      <w:pPr>
        <w:spacing w:after="140"/>
      </w:pPr>
      <w:r>
        <w:rPr>
          <w:rFonts w:ascii="Arial" w:cs="Arial" w:eastAsia="Arial" w:hAnsi="Arial"/>
          <w:i/>
          <w:iCs/>
          <w:color w:val="16243E"/>
          <w:sz w:val="22"/>
          <w:szCs w:val="22"/>
        </w:rPr>
        <w:t xml:space="preserve">A licensee wants to know what 'adverse possession' generally allows a party to potentially achieve over time.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It has no legal effect in the United States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It allows a lender to seize property immediately upon a single missed payment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It allows a trespasser to gain legal ownership of land through open, notorious, continuous, and hostile possession meeting statutory requirements over a defined period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It allows a tenant to automatically become the owner after signing a one-year lease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Adverse possession is a recognized doctrine in U.S. property law, varying in specific requirements by state.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describes a foreclosure-type concept, which involves a distinct legal process, not adverse possession.</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correct: adverse possession is a legal doctrine allowing a possessor meeting specific statutory elements over a required time period to potentially gain ownership.</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standard tenancy under a lease does not create ownership rights for the tenant; adverse possession involves a different, non-permissive relationship to the property.</w:t>
      </w:r>
    </w:p>
    <w:p>
      <w:pPr>
        <w:spacing w:after="60" w:before="260"/>
      </w:pPr>
      <w:r>
        <w:rPr>
          <w:rFonts w:ascii="Arial" w:cs="Arial" w:eastAsia="Arial" w:hAnsi="Arial"/>
          <w:b/>
          <w:bCs/>
          <w:color w:val="C13A18"/>
          <w:sz w:val="18"/>
          <w:szCs w:val="18"/>
        </w:rPr>
        <w:t xml:space="preserve">QUESTION GA-179</w:t>
      </w:r>
    </w:p>
    <w:p>
      <w:pPr>
        <w:spacing w:after="140"/>
      </w:pPr>
      <w:r>
        <w:rPr>
          <w:rFonts w:ascii="Arial" w:cs="Arial" w:eastAsia="Arial" w:hAnsi="Arial"/>
          <w:i/>
          <w:iCs/>
          <w:color w:val="16243E"/>
          <w:sz w:val="22"/>
          <w:szCs w:val="22"/>
        </w:rPr>
        <w:t xml:space="preserve">A licensee wants to know the difference between real property and personal property (chattel) in the context of a home sale involving a built-in dishwasher versus a free-standing microwave.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There is no legal distinction between real and personal property in a sale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 built-in item that is permanently affixed, like a built-in dishwasher, is generally treated as real property (a fixture), while a free-standing item like a portable microwave is generally personal property unless the contract says otherwise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Both items are automatically personal property unless nailed to the floor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Both items are automatically classified as real property since they are inside the home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distinction matters significantly in a real estate sale, particularly for what is included in the sale versus what the seller may remove.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Fixtures, items permanently attached with intent to become part of the real property, like a built-in dishwasher, are generally treated as real property, while movable items generally remain personal property absent a contrary contract term.</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 is no requirement that an item be literally nailed to the floor to be considered a fixture; attachment method and intent are the relevant factors.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Simply being inside the home does not automatically make an item real property; the manner of attachment and intent matter.</w:t>
      </w:r>
    </w:p>
    <w:p>
      <w:pPr>
        <w:spacing w:after="60" w:before="260"/>
      </w:pPr>
      <w:r>
        <w:rPr>
          <w:rFonts w:ascii="Arial" w:cs="Arial" w:eastAsia="Arial" w:hAnsi="Arial"/>
          <w:b/>
          <w:bCs/>
          <w:color w:val="C13A18"/>
          <w:sz w:val="18"/>
          <w:szCs w:val="18"/>
        </w:rPr>
        <w:t xml:space="preserve">QUESTION GA-180</w:t>
      </w:r>
    </w:p>
    <w:p>
      <w:pPr>
        <w:spacing w:after="140"/>
      </w:pPr>
      <w:r>
        <w:rPr>
          <w:rFonts w:ascii="Arial" w:cs="Arial" w:eastAsia="Arial" w:hAnsi="Arial"/>
          <w:i/>
          <w:iCs/>
          <w:color w:val="16243E"/>
          <w:sz w:val="22"/>
          <w:szCs w:val="22"/>
        </w:rPr>
        <w:t xml:space="preserve">A buyer wants to know what a 'condominium' ownership structure generally includes, compared to typical single-family fee simple ownership.</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condominium owner has no ownership interest at all, only a lease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condominium owner owns the entire building outright, including all other units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Condominium ownership is identical to renting an apartment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A condominium owner typically holds fee simple title to their individual unit along with an undivided interest in the common elements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Condominium owners hold actual ownership, not merely a lease, distinguishing this from a rental arrangement.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condominium owner does not own the entire building or other units; ownership is limited to their unit plus the shared common interest.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Renting an apartment involves a leasehold interest with no ownership stake, unlike condominium ownership, which conveys an actual ownership interest.</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the standard condominium structure: individual fee ownership of the unit combined with a shared, undivided interest in common areas like hallways, roofs, and amenities.</w:t>
      </w:r>
    </w:p>
    <w:p>
      <w:pPr>
        <w:spacing w:after="60" w:before="260"/>
      </w:pPr>
      <w:r>
        <w:rPr>
          <w:rFonts w:ascii="Arial" w:cs="Arial" w:eastAsia="Arial" w:hAnsi="Arial"/>
          <w:b/>
          <w:bCs/>
          <w:color w:val="C13A18"/>
          <w:sz w:val="18"/>
          <w:szCs w:val="18"/>
        </w:rPr>
        <w:t xml:space="preserve">QUESTION GA-181</w:t>
      </w:r>
    </w:p>
    <w:p>
      <w:pPr>
        <w:spacing w:after="140"/>
      </w:pPr>
      <w:r>
        <w:rPr>
          <w:rFonts w:ascii="Arial" w:cs="Arial" w:eastAsia="Arial" w:hAnsi="Arial"/>
          <w:i/>
          <w:iCs/>
          <w:color w:val="16243E"/>
          <w:sz w:val="22"/>
          <w:szCs w:val="22"/>
        </w:rPr>
        <w:t xml:space="preserve">A licensee wants to calculate the annual property tax on a home with a fair market value of $300,000, an assessment ratio of 40%, and a millage rate of 25 mills.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$3,000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$3,750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$12,000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$7,500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assessed value is $300,000 x 0.40 = $120,000; tax = $120,000 x (25/1000) = $3,000.</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does not correctly apply both the assessment ratio and the millage rate together in sequence.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substantially overstates the tax and does not match applying the assessment ratio and millage rate correctly.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would result from applying the millage rate to the full market value rather than the assessed value, skipping the 40% assessment step.</w:t>
      </w:r>
    </w:p>
    <w:p>
      <w:pPr>
        <w:spacing w:after="60" w:before="260"/>
      </w:pPr>
      <w:r>
        <w:rPr>
          <w:rFonts w:ascii="Arial" w:cs="Arial" w:eastAsia="Arial" w:hAnsi="Arial"/>
          <w:b/>
          <w:bCs/>
          <w:color w:val="C13A18"/>
          <w:sz w:val="18"/>
          <w:szCs w:val="18"/>
        </w:rPr>
        <w:t xml:space="preserve">QUESTION GA-182</w:t>
      </w:r>
    </w:p>
    <w:p>
      <w:pPr>
        <w:spacing w:after="140"/>
      </w:pPr>
      <w:r>
        <w:rPr>
          <w:rFonts w:ascii="Arial" w:cs="Arial" w:eastAsia="Arial" w:hAnsi="Arial"/>
          <w:i/>
          <w:iCs/>
          <w:color w:val="16243E"/>
          <w:sz w:val="22"/>
          <w:szCs w:val="22"/>
        </w:rPr>
        <w:t xml:space="preserve">A property sells for $250,000, and the seller pays a 6% total commission split evenly between the listing and selling brokerages. A licensee wants to know the amount received by the listing brokerage side before any further split with the individual agent.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$25,000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$7,500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$5,000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$15,000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is far too high and does not reflect a correct percentage calculation of the sale price.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total commission is $250,000 x 0.06 = $15,000; split evenly between listing and selling side gives $15,000 / 2 = $7,500 to the listing brokerage side.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does not correctly reflect either the full commission or the proper half-share calculation.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represents the full 6% commission, not just the listing side's 3% half.</w:t>
      </w:r>
    </w:p>
    <w:p>
      <w:pPr>
        <w:spacing w:after="60" w:before="260"/>
      </w:pPr>
      <w:r>
        <w:rPr>
          <w:rFonts w:ascii="Arial" w:cs="Arial" w:eastAsia="Arial" w:hAnsi="Arial"/>
          <w:b/>
          <w:bCs/>
          <w:color w:val="C13A18"/>
          <w:sz w:val="18"/>
          <w:szCs w:val="18"/>
        </w:rPr>
        <w:t xml:space="preserve">QUESTION GA-183</w:t>
      </w:r>
    </w:p>
    <w:p>
      <w:pPr>
        <w:spacing w:after="140"/>
      </w:pPr>
      <w:r>
        <w:rPr>
          <w:rFonts w:ascii="Arial" w:cs="Arial" w:eastAsia="Arial" w:hAnsi="Arial"/>
          <w:i/>
          <w:iCs/>
          <w:color w:val="16243E"/>
          <w:sz w:val="22"/>
          <w:szCs w:val="22"/>
        </w:rPr>
        <w:t xml:space="preserve">A rectangular lot measures 120 feet by 175 feet. A licensee wants to calculate the total square footage of the lot.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295 square feet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21,000 square feet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17,500 square feet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20,500 square feet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incorrectly adds the two dimensions instead of multiplying them.</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area = length x width = 120 x 175 = 21,000 square feet.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appears to only reflect one dimension multiplied by an incorrect factor, not the accurate product of 120 and 175.</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is close but does not match the correct multiplication of 120 by 175.</w:t>
      </w:r>
    </w:p>
    <w:p>
      <w:pPr>
        <w:spacing w:after="60" w:before="260"/>
      </w:pPr>
      <w:r>
        <w:rPr>
          <w:rFonts w:ascii="Arial" w:cs="Arial" w:eastAsia="Arial" w:hAnsi="Arial"/>
          <w:b/>
          <w:bCs/>
          <w:color w:val="C13A18"/>
          <w:sz w:val="18"/>
          <w:szCs w:val="18"/>
        </w:rPr>
        <w:t xml:space="preserve">QUESTION GA-184</w:t>
      </w:r>
    </w:p>
    <w:p>
      <w:pPr>
        <w:spacing w:after="140"/>
      </w:pPr>
      <w:r>
        <w:rPr>
          <w:rFonts w:ascii="Arial" w:cs="Arial" w:eastAsia="Arial" w:hAnsi="Arial"/>
          <w:i/>
          <w:iCs/>
          <w:color w:val="16243E"/>
          <w:sz w:val="22"/>
          <w:szCs w:val="22"/>
        </w:rPr>
        <w:t xml:space="preserve">A buyer's loan amount is $240,000 with an annual interest rate of 5%. A licensee wants to estimate the first month's interest portion of the payment (interest-only, for estimation purposes).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$1,000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$12,000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$2,000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$1,200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annual interest = $240,000 x 0.05 = $12,000; monthly interest = $12,000 / 12 = $1,000.</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represents the full annual interest amount, not the monthly portion.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is double the correct monthly interest amount.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does not match the correct calculation of annual interest divided by 12 months.</w:t>
      </w:r>
    </w:p>
    <w:p>
      <w:pPr>
        <w:spacing w:after="60" w:before="260"/>
      </w:pPr>
      <w:r>
        <w:rPr>
          <w:rFonts w:ascii="Arial" w:cs="Arial" w:eastAsia="Arial" w:hAnsi="Arial"/>
          <w:b/>
          <w:bCs/>
          <w:color w:val="C13A18"/>
          <w:sz w:val="18"/>
          <w:szCs w:val="18"/>
        </w:rPr>
        <w:t xml:space="preserve">QUESTION GA-185</w:t>
      </w:r>
    </w:p>
    <w:p>
      <w:pPr>
        <w:spacing w:after="140"/>
      </w:pPr>
      <w:r>
        <w:rPr>
          <w:rFonts w:ascii="Arial" w:cs="Arial" w:eastAsia="Arial" w:hAnsi="Arial"/>
          <w:i/>
          <w:iCs/>
          <w:color w:val="16243E"/>
          <w:sz w:val="22"/>
          <w:szCs w:val="22"/>
        </w:rPr>
        <w:t xml:space="preserve">A seller wants to net $200,000 after paying a 5% commission on the sale price, with no other closing costs considered. A licensee wants to estimate the required sale price.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Approximately $210,526</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$210,000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$205,000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$220,000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if sale price x 0.95 = $200,000, then sale price = $200,000 / 0.95 ≈ $210,526.</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results from simply adding 5% of $200,000 rather than correctly solving for the price where 95% equals $200,000.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understates the required sale price and doesn't correctly solve the net-to-gross equation.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overstates the required sale price beyond what the correct calculation yields.</w:t>
      </w:r>
    </w:p>
    <w:p>
      <w:pPr>
        <w:spacing w:after="60" w:before="260"/>
      </w:pPr>
      <w:r>
        <w:rPr>
          <w:rFonts w:ascii="Arial" w:cs="Arial" w:eastAsia="Arial" w:hAnsi="Arial"/>
          <w:b/>
          <w:bCs/>
          <w:color w:val="C13A18"/>
          <w:sz w:val="18"/>
          <w:szCs w:val="18"/>
        </w:rPr>
        <w:t xml:space="preserve">QUESTION GA-186</w:t>
      </w:r>
    </w:p>
    <w:p>
      <w:pPr>
        <w:spacing w:after="140"/>
      </w:pPr>
      <w:r>
        <w:rPr>
          <w:rFonts w:ascii="Arial" w:cs="Arial" w:eastAsia="Arial" w:hAnsi="Arial"/>
          <w:i/>
          <w:iCs/>
          <w:color w:val="16243E"/>
          <w:sz w:val="22"/>
          <w:szCs w:val="22"/>
        </w:rPr>
        <w:t xml:space="preserve">A commercial property generates $60,000 in annual net operating income and is valued using a 7.5% capitalization rate. A licensee wants to estimate the property's value using the income approach.</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$700,000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$800,000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$450,000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$600,000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is close but does not match the precise result of dividing $60,000 by 0.075.</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value = net operating income / cap rate = $60,000 / 0.075 = $800,000.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results from multiplying rather than correctly dividing net operating income by the cap rate.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understates the value and does not correctly apply the capitalization rate formula.</w:t>
      </w:r>
    </w:p>
    <w:p>
      <w:pPr>
        <w:spacing w:after="60" w:before="260"/>
      </w:pPr>
      <w:r>
        <w:rPr>
          <w:rFonts w:ascii="Arial" w:cs="Arial" w:eastAsia="Arial" w:hAnsi="Arial"/>
          <w:b/>
          <w:bCs/>
          <w:color w:val="C13A18"/>
          <w:sz w:val="18"/>
          <w:szCs w:val="18"/>
        </w:rPr>
        <w:t xml:space="preserve">QUESTION GA-187</w:t>
      </w:r>
    </w:p>
    <w:p>
      <w:pPr>
        <w:spacing w:after="140"/>
      </w:pPr>
      <w:r>
        <w:rPr>
          <w:rFonts w:ascii="Arial" w:cs="Arial" w:eastAsia="Arial" w:hAnsi="Arial"/>
          <w:i/>
          <w:iCs/>
          <w:color w:val="16243E"/>
          <w:sz w:val="22"/>
          <w:szCs w:val="22"/>
        </w:rPr>
        <w:t xml:space="preserve">A buyer secures a loan with a 3.75% annual interest rate and a $180,000 loan balance. A licensee wants to calculate one full year's worth of interest, assuming no principal reduction for estimation purposes.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$9,000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$6,750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$67,500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$675</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does not match applying the 3.75% rate correctly to the $180,000 balance.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annual interest = $180,000 x 0.0375 = $6,750.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is ten times too large compared to the correct calculation.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is off by a factor of ten from the correct annual interest amount.</w:t>
      </w:r>
    </w:p>
    <w:p>
      <w:pPr>
        <w:spacing w:after="60" w:before="260"/>
      </w:pPr>
      <w:r>
        <w:rPr>
          <w:rFonts w:ascii="Arial" w:cs="Arial" w:eastAsia="Arial" w:hAnsi="Arial"/>
          <w:b/>
          <w:bCs/>
          <w:color w:val="C13A18"/>
          <w:sz w:val="18"/>
          <w:szCs w:val="18"/>
        </w:rPr>
        <w:t xml:space="preserve">QUESTION GA-188</w:t>
      </w:r>
    </w:p>
    <w:p>
      <w:pPr>
        <w:spacing w:after="140"/>
      </w:pPr>
      <w:r>
        <w:rPr>
          <w:rFonts w:ascii="Arial" w:cs="Arial" w:eastAsia="Arial" w:hAnsi="Arial"/>
          <w:i/>
          <w:iCs/>
          <w:color w:val="16243E"/>
          <w:sz w:val="22"/>
          <w:szCs w:val="22"/>
        </w:rPr>
        <w:t xml:space="preserve">A buyer wants to prorate an annual homeowners association fee of $1,200 as of a closing date that falls exactly halfway through the year.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$1,200 total, all owed by the buyer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$300 owed total, split between the parties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$1,200 total, all owed by the seller</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$600 owed by each party for their respective half of the year</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Making the buyer responsible for the entire annual fee ignores the seller's ownership period during the first half of the year.</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incorrectly reduces the total fee amount being prorated rather than splitting the actual $1,200 fee evenly.</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Making the seller responsible for the entire annual fee ignores that the buyer will own the property for the second half of the year.</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with an even 50/50 split of the year, each party is responsible for half of the $1,200 annual fee, or $600 each.</w:t>
      </w:r>
    </w:p>
    <w:p>
      <w:pPr>
        <w:spacing w:after="60" w:before="260"/>
      </w:pPr>
      <w:r>
        <w:rPr>
          <w:rFonts w:ascii="Arial" w:cs="Arial" w:eastAsia="Arial" w:hAnsi="Arial"/>
          <w:b/>
          <w:bCs/>
          <w:color w:val="C13A18"/>
          <w:sz w:val="18"/>
          <w:szCs w:val="18"/>
        </w:rPr>
        <w:t xml:space="preserve">QUESTION GA-189</w:t>
      </w:r>
    </w:p>
    <w:p>
      <w:pPr>
        <w:spacing w:after="140"/>
      </w:pPr>
      <w:r>
        <w:rPr>
          <w:rFonts w:ascii="Arial" w:cs="Arial" w:eastAsia="Arial" w:hAnsi="Arial"/>
          <w:i/>
          <w:iCs/>
          <w:color w:val="16243E"/>
          <w:sz w:val="22"/>
          <w:szCs w:val="22"/>
        </w:rPr>
        <w:t xml:space="preserve">A property's assessed value is $150,000, and the local millage rate is 30 mills. A licensee wants to calculate the annual property tax due.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$450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$45,000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$5,000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$4,500</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is off by a factor of ten from the correct calculation.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is ten times too large compared to the correct calculation.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does not correctly apply the millage rate to the assessed value.</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tax = assessed value x (millage rate / 1000) = $150,000 x (30/1000) = $4,500.</w:t>
      </w:r>
    </w:p>
    <w:p>
      <w:pPr>
        <w:spacing w:after="60" w:before="260"/>
      </w:pPr>
      <w:r>
        <w:rPr>
          <w:rFonts w:ascii="Arial" w:cs="Arial" w:eastAsia="Arial" w:hAnsi="Arial"/>
          <w:b/>
          <w:bCs/>
          <w:color w:val="C13A18"/>
          <w:sz w:val="18"/>
          <w:szCs w:val="18"/>
        </w:rPr>
        <w:t xml:space="preserve">QUESTION GA-190</w:t>
      </w:r>
    </w:p>
    <w:p>
      <w:pPr>
        <w:spacing w:after="140"/>
      </w:pPr>
      <w:r>
        <w:rPr>
          <w:rFonts w:ascii="Arial" w:cs="Arial" w:eastAsia="Arial" w:hAnsi="Arial"/>
          <w:i/>
          <w:iCs/>
          <w:color w:val="16243E"/>
          <w:sz w:val="22"/>
          <w:szCs w:val="22"/>
        </w:rPr>
        <w:t xml:space="preserve">A buyer's earnest money deposit is 1.5% of a $320,000 purchase price. A licensee wants to calculate the deposit amount.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$3,200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$4,800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$1,600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$6,400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represents 1% of the purchase price, not the correct 1.5%.</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$320,000 x 0.015 = $4,800.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is too low and does not correctly reflect 1.5% of the purchase price.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is double the correct amount for a 1.5% deposit.</w:t>
      </w:r>
    </w:p>
    <w:p>
      <w:pPr>
        <w:spacing w:after="60" w:before="260"/>
      </w:pPr>
      <w:r>
        <w:rPr>
          <w:rFonts w:ascii="Arial" w:cs="Arial" w:eastAsia="Arial" w:hAnsi="Arial"/>
          <w:b/>
          <w:bCs/>
          <w:color w:val="C13A18"/>
          <w:sz w:val="18"/>
          <w:szCs w:val="18"/>
        </w:rPr>
        <w:t xml:space="preserve">QUESTION GA-191</w:t>
      </w:r>
    </w:p>
    <w:p>
      <w:pPr>
        <w:spacing w:after="140"/>
      </w:pPr>
      <w:r>
        <w:rPr>
          <w:rFonts w:ascii="Arial" w:cs="Arial" w:eastAsia="Arial" w:hAnsi="Arial"/>
          <w:i/>
          <w:iCs/>
          <w:color w:val="16243E"/>
          <w:sz w:val="22"/>
          <w:szCs w:val="22"/>
        </w:rPr>
        <w:t xml:space="preserve">A licensee wants to understand what a 'plat' generally shows for a parcel of land.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plat is a type of deed used to convey property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plat is a financing document showing loan terms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A plat is a recorded map showing the boundaries, dimensions, and often the lot/block layout of a subdivided parcel of land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plat only shows the interior floor plan of a home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deed is the instrument that conveys ownership; a plat is a mapping/survey document, a different legal instrument entirely.</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plat concerns land boundaries and subdivision layout, not loan financing terms.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A plat is a surveyed map, typically recorded in public records, depicting how a tract of land is divided into lots, often used in the lot-and-block legal description method.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plat depicts land boundaries and lot layout, not the interior floor plan of a structure on the land.</w:t>
      </w:r>
    </w:p>
    <w:p>
      <w:pPr>
        <w:spacing w:after="60" w:before="260"/>
      </w:pPr>
      <w:r>
        <w:rPr>
          <w:rFonts w:ascii="Arial" w:cs="Arial" w:eastAsia="Arial" w:hAnsi="Arial"/>
          <w:b/>
          <w:bCs/>
          <w:color w:val="C13A18"/>
          <w:sz w:val="18"/>
          <w:szCs w:val="18"/>
        </w:rPr>
        <w:t xml:space="preserve">QUESTION GA-192</w:t>
      </w:r>
    </w:p>
    <w:p>
      <w:pPr>
        <w:spacing w:after="140"/>
      </w:pPr>
      <w:r>
        <w:rPr>
          <w:rFonts w:ascii="Arial" w:cs="Arial" w:eastAsia="Arial" w:hAnsi="Arial"/>
          <w:i/>
          <w:iCs/>
          <w:color w:val="16243E"/>
          <w:sz w:val="22"/>
          <w:szCs w:val="22"/>
        </w:rPr>
        <w:t xml:space="preserve">A licensee wants to know the general purpose of recording a deed in the county land records after closing.</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Recording is purely optional and has no legal significance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Recording automatically removes any existing liens on the property</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Recording provides constructive notice to the public of the transfer and helps establish priority of interests in the property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Recording is required only for commercial property transactions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Recording carries real legal significance related to notice and priority, so calling it purely optional understates its importance.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Recording a deed does not itself remove existing liens; liens must be separately satisfied or released through their own process.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Recording a deed in the public land records gives constructive notice of the ownership change to third parties and helps establish the priority of competing claims or interests.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Recording is standard practice for residential transactions as well as commercial ones, not limited to one category.</w:t>
      </w:r>
    </w:p>
    <w:p>
      <w:pPr>
        <w:spacing w:after="60" w:before="260"/>
      </w:pPr>
      <w:r>
        <w:rPr>
          <w:rFonts w:ascii="Arial" w:cs="Arial" w:eastAsia="Arial" w:hAnsi="Arial"/>
          <w:b/>
          <w:bCs/>
          <w:color w:val="C13A18"/>
          <w:sz w:val="18"/>
          <w:szCs w:val="18"/>
        </w:rPr>
        <w:t xml:space="preserve">QUESTION GA-193</w:t>
      </w:r>
    </w:p>
    <w:p>
      <w:pPr>
        <w:spacing w:after="140"/>
      </w:pPr>
      <w:r>
        <w:rPr>
          <w:rFonts w:ascii="Arial" w:cs="Arial" w:eastAsia="Arial" w:hAnsi="Arial"/>
          <w:i/>
          <w:iCs/>
          <w:color w:val="16243E"/>
          <w:sz w:val="22"/>
          <w:szCs w:val="22"/>
        </w:rPr>
        <w:t xml:space="preserve">A licensee wants to know the difference between a general warranty deed and a quitclaim deed.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general warranty deed and a quitclaim deed provide identical guarantees to the buyer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Only a quitclaim deed can be used to transfer real property in Georgia</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 quitclaim deed provides stronger protection to the buyer than a general warranty deed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A general warranty deed provides broad guarantees about title, including against defects arising before the grantor's ownership, while a quitclaim deed conveys only whatever interest the grantor may have, with no warranties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These deed types provide very different levels of protection to the grantee, so they are not identical.</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Georgia recognizes multiple deed types, including general warranty, special warranty, and quitclaim deeds; quitclaim is not the exclusive option.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reverses the actual relative protection levels; a quitclaim deed offers the least protection, not the most.</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A general warranty deed offers the strongest protections, warranting title against defects even predating the grantor's ownership, while a quitclaim deed simply conveys whatever interest exists, without any warranties.</w:t>
      </w:r>
    </w:p>
    <w:p>
      <w:pPr>
        <w:spacing w:after="60" w:before="260"/>
      </w:pPr>
      <w:r>
        <w:rPr>
          <w:rFonts w:ascii="Arial" w:cs="Arial" w:eastAsia="Arial" w:hAnsi="Arial"/>
          <w:b/>
          <w:bCs/>
          <w:color w:val="C13A18"/>
          <w:sz w:val="18"/>
          <w:szCs w:val="18"/>
        </w:rPr>
        <w:t xml:space="preserve">QUESTION GA-194</w:t>
      </w:r>
    </w:p>
    <w:p>
      <w:pPr>
        <w:spacing w:after="140"/>
      </w:pPr>
      <w:r>
        <w:rPr>
          <w:rFonts w:ascii="Arial" w:cs="Arial" w:eastAsia="Arial" w:hAnsi="Arial"/>
          <w:i/>
          <w:iCs/>
          <w:color w:val="16243E"/>
          <w:sz w:val="22"/>
          <w:szCs w:val="22"/>
        </w:rPr>
        <w:t xml:space="preserve">A licensee wants to know what a 'special warranty deed' generally guarantees, compared to a general warranty deed.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special warranty deed guarantees against all defects throughout all prior history of the property, exactly like a general warranty deed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 special warranty deed guarantees against title defects arising during the grantor's own period of ownership, but not defects arising before that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 special warranty deed can only be used in commercial property transactions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special warranty deed offers no protection whatsoever, identical to a quitclaim deed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describes a general warranty deed's broader coverage, not the more limited special warranty deed.</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a special warranty deed limits the grantor's warranty to defects arising during their own ownership period, unlike a general warranty deed, which covers the full history.</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Special warranty deeds are used in various property transactions, including residential, not exclusively commercial.</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special warranty deed does provide some warranty protection, unlike a quitclaim deed, which offers none at all.</w:t>
      </w:r>
    </w:p>
    <w:p>
      <w:pPr>
        <w:spacing w:after="60" w:before="260"/>
      </w:pPr>
      <w:r>
        <w:rPr>
          <w:rFonts w:ascii="Arial" w:cs="Arial" w:eastAsia="Arial" w:hAnsi="Arial"/>
          <w:b/>
          <w:bCs/>
          <w:color w:val="C13A18"/>
          <w:sz w:val="18"/>
          <w:szCs w:val="18"/>
        </w:rPr>
        <w:t xml:space="preserve">QUESTION GA-195</w:t>
      </w:r>
    </w:p>
    <w:p>
      <w:pPr>
        <w:spacing w:after="140"/>
      </w:pPr>
      <w:r>
        <w:rPr>
          <w:rFonts w:ascii="Arial" w:cs="Arial" w:eastAsia="Arial" w:hAnsi="Arial"/>
          <w:i/>
          <w:iCs/>
          <w:color w:val="16243E"/>
          <w:sz w:val="22"/>
          <w:szCs w:val="22"/>
        </w:rPr>
        <w:t xml:space="preserve">A licensee wants to know the purpose of a survey conducted before closing on a property.</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survey is only necessary for properties larger than 10 acres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survey is the same document as a home inspection report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A survey identifies the precise boundaries, improvements, easements, and potential encroachments on a specific parcel of land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survey determines the buyer's mortgage interest rate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Surveys can be useful and are commonly obtained for properties of many sizes, not only large acreage parcels.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survey addresses land boundaries, while a home inspection addresses the condition of the structure and systems; these are distinct documents with different purposes.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A survey provides a precise, professional depiction of the property's boundaries and can reveal issues like encroachments or easements affecting the land.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Interest rates are set through the lending process, unrelated to a boundary survey.</w:t>
      </w:r>
    </w:p>
    <w:p>
      <w:pPr>
        <w:spacing w:after="60" w:before="260"/>
      </w:pPr>
      <w:r>
        <w:rPr>
          <w:rFonts w:ascii="Arial" w:cs="Arial" w:eastAsia="Arial" w:hAnsi="Arial"/>
          <w:b/>
          <w:bCs/>
          <w:color w:val="C13A18"/>
          <w:sz w:val="18"/>
          <w:szCs w:val="18"/>
        </w:rPr>
        <w:t xml:space="preserve">QUESTION GA-196</w:t>
      </w:r>
    </w:p>
    <w:p>
      <w:pPr>
        <w:spacing w:after="140"/>
      </w:pPr>
      <w:r>
        <w:rPr>
          <w:rFonts w:ascii="Arial" w:cs="Arial" w:eastAsia="Arial" w:hAnsi="Arial"/>
          <w:i/>
          <w:iCs/>
          <w:color w:val="16243E"/>
          <w:sz w:val="22"/>
          <w:szCs w:val="22"/>
        </w:rPr>
        <w:t xml:space="preserve">A licensee wants to know what an 'encroachment' refers to in a real estate context.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An encroachment refers to a type of easement granted voluntarily by agreement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An encroachment refers to a type of mortgage product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An encroachment occurs when a structure or improvement from one property physically extends onto a neighboring property without permission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An encroachment refers to a zoning classification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An encroachment is typically unauthorized and unintentional, distinguishing it from a voluntarily granted easement.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term relates to physical boundary intrusion, not a type of loan product.</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An encroachment is a physical intrusion, like a fence or structure, that crosses onto a neighbor's land without legal right, which a survey can reveal.</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Zoning classifications describe permitted land uses, a different concept from a physical boundary intrusion.</w:t>
      </w:r>
    </w:p>
    <w:p>
      <w:pPr>
        <w:spacing w:after="60" w:before="260"/>
      </w:pPr>
      <w:r>
        <w:rPr>
          <w:rFonts w:ascii="Arial" w:cs="Arial" w:eastAsia="Arial" w:hAnsi="Arial"/>
          <w:b/>
          <w:bCs/>
          <w:color w:val="C13A18"/>
          <w:sz w:val="18"/>
          <w:szCs w:val="18"/>
        </w:rPr>
        <w:t xml:space="preserve">QUESTION GA-197</w:t>
      </w:r>
    </w:p>
    <w:p>
      <w:pPr>
        <w:spacing w:after="140"/>
      </w:pPr>
      <w:r>
        <w:rPr>
          <w:rFonts w:ascii="Arial" w:cs="Arial" w:eastAsia="Arial" w:hAnsi="Arial"/>
          <w:i/>
          <w:iCs/>
          <w:color w:val="16243E"/>
          <w:sz w:val="22"/>
          <w:szCs w:val="22"/>
        </w:rPr>
        <w:t xml:space="preserve">A licensee wants to know what 'riparian rights' generally relate to.</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Riparian rights relate to airspace above a property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Riparian rights relate to mineral extraction below the surface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Riparian rights relate to subdivision recording requirements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Riparian rights relate to a property owner's rights connected to adjacent flowing water, such as a river or stream</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Rights to airspace above a property are a different category of property rights than water-related riparian rights.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Mineral rights are a separate category of property rights, distinct from riparian rights tied to water.</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Subdivision recording requirements relate to platting and recording processes, unrelated to riparian water rights.</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Riparian rights concern the rights of landowners whose property borders a river, stream, or similar flowing body of water.</w:t>
      </w:r>
    </w:p>
    <w:p>
      <w:pPr>
        <w:spacing w:after="60" w:before="260"/>
      </w:pPr>
      <w:r>
        <w:rPr>
          <w:rFonts w:ascii="Arial" w:cs="Arial" w:eastAsia="Arial" w:hAnsi="Arial"/>
          <w:b/>
          <w:bCs/>
          <w:color w:val="C13A18"/>
          <w:sz w:val="18"/>
          <w:szCs w:val="18"/>
        </w:rPr>
        <w:t xml:space="preserve">QUESTION GA-198</w:t>
      </w:r>
    </w:p>
    <w:p>
      <w:pPr>
        <w:spacing w:after="140"/>
      </w:pPr>
      <w:r>
        <w:rPr>
          <w:rFonts w:ascii="Arial" w:cs="Arial" w:eastAsia="Arial" w:hAnsi="Arial"/>
          <w:i/>
          <w:iCs/>
          <w:color w:val="16243E"/>
          <w:sz w:val="22"/>
          <w:szCs w:val="22"/>
        </w:rPr>
        <w:t xml:space="preserve">A licensee wants to know the difference between an appraisal and a competitive/comparative market analysis (CMA) prepared by a real estate agent.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An appraisal is a formal, licensed valuation typically required by lenders, while a CMA is an agent's informal pricing analysis based on comparable sales, not a formal appraisal</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Only appraisals can be used to help set a listing price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 CMA is always more accurate than a licensed appraisal</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They are identical in legal standing and both require a state appraisal license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An appraisal is a credentialed, formal valuation often required for lending purposes, while a CMA is a real estate licensee's informal comparative pricing tool to help guide listing or offer decisions.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Agents commonly use CMAs to help set listing prices; a formal appraisal is not the only tool used for this purpose.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Accuracy can vary by situation, and a CMA is not categorically presumed more accurate than a professional, licensed appraisal.</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These have different legal standing; a CMA does not require an appraiser's license and is not treated as a formal appraisal.</w:t>
      </w:r>
    </w:p>
    <w:p>
      <w:pPr>
        <w:spacing w:after="60" w:before="260"/>
      </w:pPr>
      <w:r>
        <w:rPr>
          <w:rFonts w:ascii="Arial" w:cs="Arial" w:eastAsia="Arial" w:hAnsi="Arial"/>
          <w:b/>
          <w:bCs/>
          <w:color w:val="C13A18"/>
          <w:sz w:val="18"/>
          <w:szCs w:val="18"/>
        </w:rPr>
        <w:t xml:space="preserve">QUESTION GA-199</w:t>
      </w:r>
    </w:p>
    <w:p>
      <w:pPr>
        <w:spacing w:after="140"/>
      </w:pPr>
      <w:r>
        <w:rPr>
          <w:rFonts w:ascii="Arial" w:cs="Arial" w:eastAsia="Arial" w:hAnsi="Arial"/>
          <w:i/>
          <w:iCs/>
          <w:color w:val="16243E"/>
          <w:sz w:val="22"/>
          <w:szCs w:val="22"/>
        </w:rPr>
        <w:t xml:space="preserve">A licensee wants to know what a 'legal description' in a deed is used for, as opposed to a mailing address.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legal description is only needed for properties without a mailing address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legal description refers to the buyer's personal legal name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 legal description and a mailing address are always interchangeable and equally precise for legal purposes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A legal description precisely and uniquely identifies the specific parcel of real property for legal purposes, in a way a mailing address alone does not guarantee</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legal description is standard practice for all properties in a deed, not only those lacking a mailing address.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legal description identifies the property itself, not the personal name of any party to the transaction.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mailing address is not considered a legally sufficient or sufficiently precise way to identify a specific parcel for conveyance purposes.</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A legal description, whether by metes and bounds, lot and block, or another accepted method, precisely identifies the exact parcel in a legally reliable way that a street address does not guarantee.</w:t>
      </w:r>
    </w:p>
    <w:p>
      <w:pPr>
        <w:spacing w:after="60" w:before="260"/>
      </w:pPr>
      <w:r>
        <w:rPr>
          <w:rFonts w:ascii="Arial" w:cs="Arial" w:eastAsia="Arial" w:hAnsi="Arial"/>
          <w:b/>
          <w:bCs/>
          <w:color w:val="C13A18"/>
          <w:sz w:val="18"/>
          <w:szCs w:val="18"/>
        </w:rPr>
        <w:t xml:space="preserve">QUESTION GA-200</w:t>
      </w:r>
    </w:p>
    <w:p>
      <w:pPr>
        <w:spacing w:after="140"/>
      </w:pPr>
      <w:r>
        <w:rPr>
          <w:rFonts w:ascii="Arial" w:cs="Arial" w:eastAsia="Arial" w:hAnsi="Arial"/>
          <w:i/>
          <w:iCs/>
          <w:color w:val="16243E"/>
          <w:sz w:val="22"/>
          <w:szCs w:val="22"/>
        </w:rPr>
        <w:t xml:space="preserve">A licensee wants to calculate the gross monthly rent multiplier (GRM) for an investment property that sold for $240,000 and generates $2,000 in gross monthly rent.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1.2</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0.12</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12</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120</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is off by a factor of 100 from the correct GRM calculation.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is off by a factor of 1,000 from the correct GRM calculation.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is off by a factor of 10 from the correct GRM calculation.</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GRM = sale price / gross monthly rent = $240,000 / $2,000 = 120.</w:t>
      </w:r>
    </w:p>
    <w:p>
      <w:r>
        <w:br w:type="page"/>
      </w:r>
    </w:p>
    <w:p>
      <w:pPr>
        <w:pStyle w:val="Heading1"/>
        <w:spacing w:after="60" w:before="200"/>
      </w:pPr>
      <w:r>
        <w:rPr>
          <w:rFonts w:ascii="Arial" w:cs="Arial" w:eastAsia="Arial" w:hAnsi="Arial"/>
          <w:color w:val="16243E"/>
        </w:rPr>
        <w:t xml:space="preserve">National: Agency &amp; Fiduciary Duties</w:t>
      </w:r>
    </w:p>
    <w:p>
      <w:pPr>
        <w:pBdr>
          <w:bottom w:val="single" w:color="E5431F" w:sz="8" w:space="4"/>
        </w:pBdr>
        <w:spacing w:after="300"/>
      </w:pPr>
      <w:r>
        <w:rPr>
          <w:rFonts w:ascii="Arial" w:cs="Arial" w:eastAsia="Arial" w:hAnsi="Arial"/>
          <w:i/>
          <w:iCs/>
          <w:color w:val="677081"/>
          <w:sz w:val="18"/>
          <w:szCs w:val="18"/>
        </w:rPr>
        <w:t xml:space="preserve">10 questions in this section</w:t>
      </w:r>
    </w:p>
    <w:p>
      <w:pPr>
        <w:spacing w:after="60" w:before="260"/>
      </w:pPr>
      <w:r>
        <w:rPr>
          <w:rFonts w:ascii="Arial" w:cs="Arial" w:eastAsia="Arial" w:hAnsi="Arial"/>
          <w:b/>
          <w:bCs/>
          <w:color w:val="C13A18"/>
          <w:sz w:val="18"/>
          <w:szCs w:val="18"/>
        </w:rPr>
        <w:t xml:space="preserve">QUESTION US-001</w:t>
      </w:r>
    </w:p>
    <w:p>
      <w:pPr>
        <w:spacing w:after="140"/>
      </w:pPr>
      <w:r>
        <w:rPr>
          <w:rFonts w:ascii="Arial" w:cs="Arial" w:eastAsia="Arial" w:hAnsi="Arial"/>
          <w:i/>
          <w:iCs/>
          <w:color w:val="16243E"/>
          <w:sz w:val="22"/>
          <w:szCs w:val="22"/>
        </w:rPr>
        <w:t xml:space="preserve">A listing agent is working with a seller client and receives an offer from a buyer who is unrepresented. The buyer asks the listing agent for advice on how much to offer.</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agent should clarify that they represent the seller and cannot advise the buyer on strategy, while still treating the buyer honestly and fairly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agent must immediately become the buyer's agent once the buyer asks a question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agent should freely advise the buyer on offer strategy since providing good service to everyone is the priority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agent should refuse to speak with the unrepresented buyer at all</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A single agent representing only the seller must be clear about who they represent, and while they still owe the buyer honesty and fair dealing, they cannot provide the buyer with strategic advice that could disadvantage the seller.</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Simply answering a question does not automatically create a new agency relationship; representation is established through a separate, mutual agreement.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Giving the buyer strategic advice would conflict with the fiduciary duty of loyalty owed exclusively to the seller.</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Refusing to communicate at all is not required; the agent can still provide factual, honest information without crossing into advocacy for the buyer.</w:t>
      </w:r>
    </w:p>
    <w:p>
      <w:pPr>
        <w:spacing w:after="60" w:before="260"/>
      </w:pPr>
      <w:r>
        <w:rPr>
          <w:rFonts w:ascii="Arial" w:cs="Arial" w:eastAsia="Arial" w:hAnsi="Arial"/>
          <w:b/>
          <w:bCs/>
          <w:color w:val="C13A18"/>
          <w:sz w:val="18"/>
          <w:szCs w:val="18"/>
        </w:rPr>
        <w:t xml:space="preserve">QUESTION US-002</w:t>
      </w:r>
    </w:p>
    <w:p>
      <w:pPr>
        <w:spacing w:after="140"/>
      </w:pPr>
      <w:r>
        <w:rPr>
          <w:rFonts w:ascii="Arial" w:cs="Arial" w:eastAsia="Arial" w:hAnsi="Arial"/>
          <w:i/>
          <w:iCs/>
          <w:color w:val="16243E"/>
          <w:sz w:val="22"/>
          <w:szCs w:val="22"/>
        </w:rPr>
        <w:t xml:space="preserve">A buyer's agent learns during a private conversation that the buyer's employer is transferring them out of state in two months, making a quick sale of the buyer's current home important. The buyer client asks the agent to keep this confidential from any seller they negotiate with.</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agent must honor the buyer's request for confidentiality as part of the fiduciary duty owed to the buyer client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Confidentiality duties only apply to sellers, not buyers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agent must disclose the timeline to any seller who asks directly, regardless of the buyer's wishes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agent may disclose the timeline to sellers to help move negotiations along faster</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The fiduciary duty of confidentiality requires a buyer's agent to protect information that could harm the client's negotiating position, absent the client's authorization to share it.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Confidentiality is a duty owed to whichever party is the agent's client, buyer or seller alike; it is not one-sided.</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Being asked directly by the other side does not override the agent's duty to protect their own client's confidential information.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Disclosing this information would undermine the buyer's negotiating position and breach the duty of confidentiality.</w:t>
      </w:r>
    </w:p>
    <w:p>
      <w:pPr>
        <w:spacing w:after="60" w:before="260"/>
      </w:pPr>
      <w:r>
        <w:rPr>
          <w:rFonts w:ascii="Arial" w:cs="Arial" w:eastAsia="Arial" w:hAnsi="Arial"/>
          <w:b/>
          <w:bCs/>
          <w:color w:val="C13A18"/>
          <w:sz w:val="18"/>
          <w:szCs w:val="18"/>
        </w:rPr>
        <w:t xml:space="preserve">QUESTION US-003</w:t>
      </w:r>
    </w:p>
    <w:p>
      <w:pPr>
        <w:spacing w:after="140"/>
      </w:pPr>
      <w:r>
        <w:rPr>
          <w:rFonts w:ascii="Arial" w:cs="Arial" w:eastAsia="Arial" w:hAnsi="Arial"/>
          <w:i/>
          <w:iCs/>
          <w:color w:val="16243E"/>
          <w:sz w:val="22"/>
          <w:szCs w:val="22"/>
        </w:rPr>
        <w:t xml:space="preserve">A real estate licensee is acting as a transaction facilitator (sometimes called a non-agency or limited-service role in some states) rather than as a fiduciary agent for either party.</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facilitator role does not exist under any state's real estate licensing framework</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facilitator can only work with cash buyers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A facilitator generally assists both parties with the transaction while owing more limited duties, such as honesty and fair dealing, rather than full fiduciary loyalty to one side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facilitator owes full fiduciary duties, identical to traditional agency, to both parties simultaneously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number of states recognize this type of limited, non-agency role in their licensing frameworks, so this option overstates its absence.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no restriction limiting facilitator representation to cash transactions only.</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the essential feature of a facilitator/transaction broker role: helping both sides complete the transaction fairly and honestly without being a fiduciary advocate for either one.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Full fiduciary duties to both sides simultaneously would create direct, irreconcilable conflicts; the facilitator concept exists specifically to avoid that.</w:t>
      </w:r>
    </w:p>
    <w:p>
      <w:pPr>
        <w:spacing w:after="60" w:before="260"/>
      </w:pPr>
      <w:r>
        <w:rPr>
          <w:rFonts w:ascii="Arial" w:cs="Arial" w:eastAsia="Arial" w:hAnsi="Arial"/>
          <w:b/>
          <w:bCs/>
          <w:color w:val="C13A18"/>
          <w:sz w:val="18"/>
          <w:szCs w:val="18"/>
        </w:rPr>
        <w:t xml:space="preserve">QUESTION US-004</w:t>
      </w:r>
    </w:p>
    <w:p>
      <w:pPr>
        <w:spacing w:after="140"/>
      </w:pPr>
      <w:r>
        <w:rPr>
          <w:rFonts w:ascii="Arial" w:cs="Arial" w:eastAsia="Arial" w:hAnsi="Arial"/>
          <w:i/>
          <w:iCs/>
          <w:color w:val="16243E"/>
          <w:sz w:val="22"/>
          <w:szCs w:val="22"/>
        </w:rPr>
        <w:t xml:space="preserve">A seller's agent personally has a strong friendship with one of two competing buyers and wants to give that buyer helpful hints about how to beat the other offer.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acceptable if the seller is not told about the friendship</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This would breach the duty of loyalty owed to the seller client, since the agent's role is to get the best outcome for the seller, not to favor a personal friend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acceptable since the agent is free to help friends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acceptable as long as the friend pays a referral fee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Withholding the friendship from the seller compounds the problem rather than solving it; the underlying conflict of interest still exists.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Steering negotiation advantage toward one buyer because of personal friendship undermines the agent's duty of loyalty and undivided attention to the seller's interests.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Personal friendship does not excuse an agent from their fiduciary obligation to act in the seller's best interest during negotiations.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referral fee arrangement does not change the underlying conflict of interest or cure the breach of loyalty to the seller.</w:t>
      </w:r>
    </w:p>
    <w:p>
      <w:pPr>
        <w:spacing w:after="60" w:before="260"/>
      </w:pPr>
      <w:r>
        <w:rPr>
          <w:rFonts w:ascii="Arial" w:cs="Arial" w:eastAsia="Arial" w:hAnsi="Arial"/>
          <w:b/>
          <w:bCs/>
          <w:color w:val="C13A18"/>
          <w:sz w:val="18"/>
          <w:szCs w:val="18"/>
        </w:rPr>
        <w:t xml:space="preserve">QUESTION US-005</w:t>
      </w:r>
    </w:p>
    <w:p>
      <w:pPr>
        <w:spacing w:after="140"/>
      </w:pPr>
      <w:r>
        <w:rPr>
          <w:rFonts w:ascii="Arial" w:cs="Arial" w:eastAsia="Arial" w:hAnsi="Arial"/>
          <w:i/>
          <w:iCs/>
          <w:color w:val="16243E"/>
          <w:sz w:val="22"/>
          <w:szCs w:val="22"/>
        </w:rPr>
        <w:t xml:space="preserve">A licensee is asked by their broker to review and countersign a contract for a transaction the licensee wasn't directly involved in negotiating.</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only legal if the licensee personally negotiated every term</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GREC-style supervisory review only exists in Georgia and no other state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request is always improper regardless of state supervision requirements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Broker review and oversight of licensee transactions is a normal part of supervisory duties in most states, though the specific requirements vary by jurisdiction</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Requiring personal negotiation of every term would be inconsistent with how brokerage supervision typically functions.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Broker supervision and review requirements exist across most U.S. states in some form, not solely in Georgia.</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Broker-level review of transactions is a standard, expected supervisory function, not an inherently improper request.</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Most state licensing frameworks place supervisory responsibility on the broker, which commonly includes reviewing and approving transaction paperwork, even when the broker or a designated reviewer wasn't the one who negotiated it.</w:t>
      </w:r>
    </w:p>
    <w:p>
      <w:pPr>
        <w:spacing w:after="60" w:before="260"/>
      </w:pPr>
      <w:r>
        <w:rPr>
          <w:rFonts w:ascii="Arial" w:cs="Arial" w:eastAsia="Arial" w:hAnsi="Arial"/>
          <w:b/>
          <w:bCs/>
          <w:color w:val="C13A18"/>
          <w:sz w:val="18"/>
          <w:szCs w:val="18"/>
        </w:rPr>
        <w:t xml:space="preserve">QUESTION US-006</w:t>
      </w:r>
    </w:p>
    <w:p>
      <w:pPr>
        <w:spacing w:after="140"/>
      </w:pPr>
      <w:r>
        <w:rPr>
          <w:rFonts w:ascii="Arial" w:cs="Arial" w:eastAsia="Arial" w:hAnsi="Arial"/>
          <w:i/>
          <w:iCs/>
          <w:color w:val="16243E"/>
          <w:sz w:val="22"/>
          <w:szCs w:val="22"/>
        </w:rPr>
        <w:t xml:space="preserve">A dual agent in a state that permits dual agency with informed consent has one party who later claims they never truly understood what dual agency meant when they signed the consent form.</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Only the buyer's understanding matters in a dual agency consent situation, not the seller's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Dual agency consent forms are purely a formality with no legal significance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Genuine informed consent requires that the party actually understood the disclosure, so a claim of true misunderstanding can raise legal and regulatory concerns even after a signature was obtained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claim is irrelevant since a signature alone always fully validates consent regardless of understanding</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Both parties' informed understanding matters equally in a dual agency arrangement, not just one side's.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Consent forms carry real legal weight precisely because dual agency alters the level of representation each party receives.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'Informed' consent implies actual comprehension, not just a signature, so if a party genuinely did not understand the disclosure, it can raise real legal and licensing concerns for the agent and brokerage.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signature is important evidence but does not automatically override a legitimate claim of lacking real understanding, which is why clear, plain-language disclosure matters.</w:t>
      </w:r>
    </w:p>
    <w:p>
      <w:pPr>
        <w:spacing w:after="60" w:before="260"/>
      </w:pPr>
      <w:r>
        <w:rPr>
          <w:rFonts w:ascii="Arial" w:cs="Arial" w:eastAsia="Arial" w:hAnsi="Arial"/>
          <w:b/>
          <w:bCs/>
          <w:color w:val="C13A18"/>
          <w:sz w:val="18"/>
          <w:szCs w:val="18"/>
        </w:rPr>
        <w:t xml:space="preserve">QUESTION US-007</w:t>
      </w:r>
    </w:p>
    <w:p>
      <w:pPr>
        <w:spacing w:after="140"/>
      </w:pPr>
      <w:r>
        <w:rPr>
          <w:rFonts w:ascii="Arial" w:cs="Arial" w:eastAsia="Arial" w:hAnsi="Arial"/>
          <w:i/>
          <w:iCs/>
          <w:color w:val="16243E"/>
          <w:sz w:val="22"/>
          <w:szCs w:val="22"/>
        </w:rPr>
        <w:t xml:space="preserve">A licensee representing a seller learns the buyer's agent misrepresented the buyer's proof of funds. The seller's agent is deciding how to handle this.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seller's agent has no duty to mention it since it involves the other side's agent, not their own client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The seller's agent should bring this material concern to the seller's attention, since protecting the seller's interests and providing full disclosure of material facts is part of the agent's duty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seller's agent should quietly ignore it to keep the deal moving toward closing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seller's agent should confront the buyer's agent publicly online instead of informing their own client first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source of the concern, another agent, doesn't remove the seller's agent's obligation to inform their own client about something materially relevant.</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The duty of full disclosure to the client requires informing the seller of material facts affecting the transaction's reliability, including credible concerns about the buyer's proof of funds.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Ignoring a material misrepresentation about the buyer's ability to perform would fail the duty to protect the seller's interests.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appropriate first step is informing the client directly and professionally, not creating a public dispute before the client even knows.</w:t>
      </w:r>
    </w:p>
    <w:p>
      <w:pPr>
        <w:spacing w:after="60" w:before="260"/>
      </w:pPr>
      <w:r>
        <w:rPr>
          <w:rFonts w:ascii="Arial" w:cs="Arial" w:eastAsia="Arial" w:hAnsi="Arial"/>
          <w:b/>
          <w:bCs/>
          <w:color w:val="C13A18"/>
          <w:sz w:val="18"/>
          <w:szCs w:val="18"/>
        </w:rPr>
        <w:t xml:space="preserve">QUESTION US-008</w:t>
      </w:r>
    </w:p>
    <w:p>
      <w:pPr>
        <w:spacing w:after="140"/>
      </w:pPr>
      <w:r>
        <w:rPr>
          <w:rFonts w:ascii="Arial" w:cs="Arial" w:eastAsia="Arial" w:hAnsi="Arial"/>
          <w:i/>
          <w:iCs/>
          <w:color w:val="16243E"/>
          <w:sz w:val="22"/>
          <w:szCs w:val="22"/>
        </w:rPr>
        <w:t xml:space="preserve">A licensee wants to understand what 'undivided loyalty' means as a fiduciary duty in a single agency relationship.</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It means the agent must equally split attention and advocacy between both parties in a transaction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It means the agent must work exclusively for one client for their entire career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It means the agent must personally like their client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It means the agent must act solely in the best interest of their own client, without divided loyalty to the other party's interests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Equally splitting advocacy between both sides describes dual agency, not the undivided loyalty owed in a single agency relationship.</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Undivided loyalty applies within the scope of a specific client relationship or transaction, not as a lifetime, single-client career restriction.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Personal fondness is irrelevant to the legal concept of loyalty as a fiduciary duty.</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Undivided loyalty means the agent's advocacy and effort belong entirely to their own client's interests, without being compromised by consideration of the other side's interests.</w:t>
      </w:r>
    </w:p>
    <w:p>
      <w:pPr>
        <w:spacing w:after="60" w:before="260"/>
      </w:pPr>
      <w:r>
        <w:rPr>
          <w:rFonts w:ascii="Arial" w:cs="Arial" w:eastAsia="Arial" w:hAnsi="Arial"/>
          <w:b/>
          <w:bCs/>
          <w:color w:val="C13A18"/>
          <w:sz w:val="18"/>
          <w:szCs w:val="18"/>
        </w:rPr>
        <w:t xml:space="preserve">QUESTION US-009</w:t>
      </w:r>
    </w:p>
    <w:p>
      <w:pPr>
        <w:spacing w:after="140"/>
      </w:pPr>
      <w:r>
        <w:rPr>
          <w:rFonts w:ascii="Arial" w:cs="Arial" w:eastAsia="Arial" w:hAnsi="Arial"/>
          <w:i/>
          <w:iCs/>
          <w:color w:val="16243E"/>
          <w:sz w:val="22"/>
          <w:szCs w:val="22"/>
        </w:rPr>
        <w:t xml:space="preserve">A property management company acts as an agent for a group of rental property owners. A prospective tenant asks the property manager about the physical condition of the HVAC system.</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property manager, while representing the owner, still owes prospective tenants honesty and must not misrepresent known material facts like a malfunctioning HVAC system</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property manager can say whatever is most likely to secure a quick lease signing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question only matters if the tenant is a licensed real estate agent themselves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property manager owes no duty of honesty to prospective tenants since they represent the owner</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Even as the owner's agent, a property manager cannot knowingly misrepresent material facts to a prospective tenant; honesty and fair dealing extend to non-client third parties.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Prioritizing a quick lease signing over truthful answers would constitute a misrepresentation, which is not permissible.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tenant's own profession or licensure status has no bearing on the property manager's duty of basic honesty.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Representing the owner does not eliminate the baseline duty of honesty owed to third parties like prospective tenants.</w:t>
      </w:r>
    </w:p>
    <w:p>
      <w:pPr>
        <w:spacing w:after="60" w:before="260"/>
      </w:pPr>
      <w:r>
        <w:rPr>
          <w:rFonts w:ascii="Arial" w:cs="Arial" w:eastAsia="Arial" w:hAnsi="Arial"/>
          <w:b/>
          <w:bCs/>
          <w:color w:val="C13A18"/>
          <w:sz w:val="18"/>
          <w:szCs w:val="18"/>
        </w:rPr>
        <w:t xml:space="preserve">QUESTION US-010</w:t>
      </w:r>
    </w:p>
    <w:p>
      <w:pPr>
        <w:spacing w:after="140"/>
      </w:pPr>
      <w:r>
        <w:rPr>
          <w:rFonts w:ascii="Arial" w:cs="Arial" w:eastAsia="Arial" w:hAnsi="Arial"/>
          <w:i/>
          <w:iCs/>
          <w:color w:val="16243E"/>
          <w:sz w:val="22"/>
          <w:szCs w:val="22"/>
        </w:rPr>
        <w:t xml:space="preserve">A licensee wants to understand the duty of 'accounting' as one of the classic fiduciary duties owed to a client.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Accounting means the agent must disclose their own personal net worth to the client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Accounting means the agent must properly handle and provide records of any money or property belonging to the client that passes through the agent's care, such as earnest money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Accounting means the agent must personally prepare the client's income tax return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Accounting only applies to commercial property management, not residential sales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Personal net worth disclosure is unrelated to the fiduciary duty of accounting, which concerns handling the client's funds and property, not the agent's own finances.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The duty of accounting requires an agent to properly track, safeguard, and provide records for client funds or property handled in the course of the agency, such as trust deposits.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Preparing tax returns is unrelated to the fiduciary duty of accounting in an agency relationship.</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duty applies broadly across residential and commercial contexts whenever an agent handles client funds or property, not solely to property management.</w:t>
      </w:r>
    </w:p>
    <w:p>
      <w:r>
        <w:br w:type="page"/>
      </w:r>
    </w:p>
    <w:p>
      <w:pPr>
        <w:pStyle w:val="Heading1"/>
        <w:spacing w:after="60" w:before="200"/>
      </w:pPr>
      <w:r>
        <w:rPr>
          <w:rFonts w:ascii="Arial" w:cs="Arial" w:eastAsia="Arial" w:hAnsi="Arial"/>
          <w:color w:val="16243E"/>
        </w:rPr>
        <w:t xml:space="preserve">National: Contracts</w:t>
      </w:r>
    </w:p>
    <w:p>
      <w:pPr>
        <w:pBdr>
          <w:bottom w:val="single" w:color="E5431F" w:sz="8" w:space="4"/>
        </w:pBdr>
        <w:spacing w:after="300"/>
      </w:pPr>
      <w:r>
        <w:rPr>
          <w:rFonts w:ascii="Arial" w:cs="Arial" w:eastAsia="Arial" w:hAnsi="Arial"/>
          <w:i/>
          <w:iCs/>
          <w:color w:val="677081"/>
          <w:sz w:val="18"/>
          <w:szCs w:val="18"/>
        </w:rPr>
        <w:t xml:space="preserve">10 questions in this section</w:t>
      </w:r>
    </w:p>
    <w:p>
      <w:pPr>
        <w:spacing w:after="60" w:before="260"/>
      </w:pPr>
      <w:r>
        <w:rPr>
          <w:rFonts w:ascii="Arial" w:cs="Arial" w:eastAsia="Arial" w:hAnsi="Arial"/>
          <w:b/>
          <w:bCs/>
          <w:color w:val="C13A18"/>
          <w:sz w:val="18"/>
          <w:szCs w:val="18"/>
        </w:rPr>
        <w:t xml:space="preserve">QUESTION US-011</w:t>
      </w:r>
    </w:p>
    <w:p>
      <w:pPr>
        <w:spacing w:after="140"/>
      </w:pPr>
      <w:r>
        <w:rPr>
          <w:rFonts w:ascii="Arial" w:cs="Arial" w:eastAsia="Arial" w:hAnsi="Arial"/>
          <w:i/>
          <w:iCs/>
          <w:color w:val="16243E"/>
          <w:sz w:val="22"/>
          <w:szCs w:val="22"/>
        </w:rPr>
        <w:t xml:space="preserve">A buyer submits a written offer to a seller. Before the seller responds, the buyer calls and verbally withdraws the offer.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offer automatically remains open for a minimum of 72 hours regardless of the buyer's wishes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Only the seller can cancel an offer once it has been submitted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An offer can generally be revoked by the offeror at any time before it has been accepted, as long as the revocation is communicated to the offeree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buyer cannot withdraw an offer once submitted in writing</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There is no universal minimum time an offer must remain open; that depends on its own terms or applicable law, not a blanket 72-hour rule.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offeror (in this case, the buyer) retains the ability to withdraw their own unaccepted offer; it is not solely within the seller's control.</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Under general contract law principles, an offeror may revoke an offer any time before the offeree communicates acceptance, provided the revocation is actually communicated.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Submitting an offer in writing does not by itself prevent the offeror from revoking it before acceptance.</w:t>
      </w:r>
    </w:p>
    <w:p>
      <w:pPr>
        <w:spacing w:after="60" w:before="260"/>
      </w:pPr>
      <w:r>
        <w:rPr>
          <w:rFonts w:ascii="Arial" w:cs="Arial" w:eastAsia="Arial" w:hAnsi="Arial"/>
          <w:b/>
          <w:bCs/>
          <w:color w:val="C13A18"/>
          <w:sz w:val="18"/>
          <w:szCs w:val="18"/>
        </w:rPr>
        <w:t xml:space="preserve">QUESTION US-012</w:t>
      </w:r>
    </w:p>
    <w:p>
      <w:pPr>
        <w:spacing w:after="140"/>
      </w:pPr>
      <w:r>
        <w:rPr>
          <w:rFonts w:ascii="Arial" w:cs="Arial" w:eastAsia="Arial" w:hAnsi="Arial"/>
          <w:i/>
          <w:iCs/>
          <w:color w:val="16243E"/>
          <w:sz w:val="22"/>
          <w:szCs w:val="22"/>
        </w:rPr>
        <w:t xml:space="preserve">A seller receives an offer and changes the closing date before signing, then returns it to the buyer. The buyer has not yet responded to this change.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No contract exists yet; the seller's change created a counteroffer that must be accepted by the buyer before a contract is formed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binding contract already exists because the seller signed something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buyer is now bound by the original offer regardless of the seller's changes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Counteroffers are not recognized under general contract law principles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Changing any term converts the response into a counteroffer, which itself must be accepted by the original offeror (the buyer) for a contract to form, consistent with the mirror image rule.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signature on a modified document is not the same as forming a binding contract when a term was changed rather than accepted as-is.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buyer is not bound to the original terms once the seller has effectively rejected them by countering with new terms.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Counteroffers are a well-established and universally recognized concept in contract law.</w:t>
      </w:r>
    </w:p>
    <w:p>
      <w:pPr>
        <w:spacing w:after="60" w:before="260"/>
      </w:pPr>
      <w:r>
        <w:rPr>
          <w:rFonts w:ascii="Arial" w:cs="Arial" w:eastAsia="Arial" w:hAnsi="Arial"/>
          <w:b/>
          <w:bCs/>
          <w:color w:val="C13A18"/>
          <w:sz w:val="18"/>
          <w:szCs w:val="18"/>
        </w:rPr>
        <w:t xml:space="preserve">QUESTION US-013</w:t>
      </w:r>
    </w:p>
    <w:p>
      <w:pPr>
        <w:spacing w:after="140"/>
      </w:pPr>
      <w:r>
        <w:rPr>
          <w:rFonts w:ascii="Arial" w:cs="Arial" w:eastAsia="Arial" w:hAnsi="Arial"/>
          <w:i/>
          <w:iCs/>
          <w:color w:val="16243E"/>
          <w:sz w:val="22"/>
          <w:szCs w:val="22"/>
        </w:rPr>
        <w:t xml:space="preserve">A real estate sales contract is signed by only one spouse on a property that is jointly owned by both spouses.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contract is automatically fully binding on both spouses regardless of who signed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Spousal co-ownership issues are never relevant to contract validity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Only single-owner properties can ever be sold via written contract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Depending on how title is held and applicable law, a contract signed by only one co-owner may not effectively convey the interest of the non-signing co-owner</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signature from only one co-owner does not automatically bind a co-owner who did not sign, particularly regarding their own ownership interest.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Co-ownership status is directly relevant to whether a contract can effectively convey full title, making this option incorrect.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Properties can be jointly owned and still validly sold via contract, provided the appropriate owners are parties to it.</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Whether and how a contract affects a non-signing co-owner's interest depends on the form of ownership and relevant law; typically all owners with an interest need to join in conveying it.</w:t>
      </w:r>
    </w:p>
    <w:p>
      <w:pPr>
        <w:spacing w:after="60" w:before="260"/>
      </w:pPr>
      <w:r>
        <w:rPr>
          <w:rFonts w:ascii="Arial" w:cs="Arial" w:eastAsia="Arial" w:hAnsi="Arial"/>
          <w:b/>
          <w:bCs/>
          <w:color w:val="C13A18"/>
          <w:sz w:val="18"/>
          <w:szCs w:val="18"/>
        </w:rPr>
        <w:t xml:space="preserve">QUESTION US-014</w:t>
      </w:r>
    </w:p>
    <w:p>
      <w:pPr>
        <w:spacing w:after="140"/>
      </w:pPr>
      <w:r>
        <w:rPr>
          <w:rFonts w:ascii="Arial" w:cs="Arial" w:eastAsia="Arial" w:hAnsi="Arial"/>
          <w:i/>
          <w:iCs/>
          <w:color w:val="16243E"/>
          <w:sz w:val="22"/>
          <w:szCs w:val="22"/>
        </w:rPr>
        <w:t xml:space="preserve">A buyer and seller execute a contract, but a key blank, the exact legal description of the property, was left empty at signing and filled in afterward by the listing agent without either party's knowledge.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is only a problem if the buyer notices before closing</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 normal, harmless practice with no legal risk</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Filling in material contract terms after signing, without the parties' knowledge and authorization, raises serious legal and ethical concerns and could affect the contract's validity or expose the agent to liability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practice is required by law in every real estate transaction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legal and ethical problem exists at the moment of the unauthorized change, regardless of whether the buyer later happens to notice.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Altering a signed contract's material terms without the parties' knowledge is not a harmless or routine practice.</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Adding or changing material terms after execution without proper authorization can undermine the contract's validity and creates real liability exposure for the agent involved.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No law requires this kind of unauthorized post-signature alteration; proper practice requires blanks to be completed before or through a proper amendment process with party knowledge.</w:t>
      </w:r>
    </w:p>
    <w:p>
      <w:pPr>
        <w:spacing w:after="60" w:before="260"/>
      </w:pPr>
      <w:r>
        <w:rPr>
          <w:rFonts w:ascii="Arial" w:cs="Arial" w:eastAsia="Arial" w:hAnsi="Arial"/>
          <w:b/>
          <w:bCs/>
          <w:color w:val="C13A18"/>
          <w:sz w:val="18"/>
          <w:szCs w:val="18"/>
        </w:rPr>
        <w:t xml:space="preserve">QUESTION US-015</w:t>
      </w:r>
    </w:p>
    <w:p>
      <w:pPr>
        <w:spacing w:after="140"/>
      </w:pPr>
      <w:r>
        <w:rPr>
          <w:rFonts w:ascii="Arial" w:cs="Arial" w:eastAsia="Arial" w:hAnsi="Arial"/>
          <w:i/>
          <w:iCs/>
          <w:color w:val="16243E"/>
          <w:sz w:val="22"/>
          <w:szCs w:val="22"/>
        </w:rPr>
        <w:t xml:space="preserve">A buyer wants to know what 'liquidated damages' means as a contract remedy provision.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Liquidated damages only applies to commercial property contracts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Liquidated damages refers to a pre-agreed amount, often the earnest money, that the parties agree will serve as the seller's remedy if the buyer defaults, in lieu of proving actual damages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Liquidated damages refers to damages that can never be calculated or estimated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Liquidated damages refers to a court-ordered sale of the property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Liquidated damages clauses are common in residential contracts as well as commercial ones.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A liquidated damages clause lets the parties agree in advance, often using earnest money, on the amount the seller may retain as their exclusive remedy for a buyer's default, avoiding the need to prove actual loss.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Liquidated damages are specifically about pre-estimating and agreeing to a damages amount, not damages that are impossible to calculate.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describes something closer to a judicial remedy like specific performance, not a liquidated damages clause.</w:t>
      </w:r>
    </w:p>
    <w:p>
      <w:pPr>
        <w:spacing w:after="60" w:before="260"/>
      </w:pPr>
      <w:r>
        <w:rPr>
          <w:rFonts w:ascii="Arial" w:cs="Arial" w:eastAsia="Arial" w:hAnsi="Arial"/>
          <w:b/>
          <w:bCs/>
          <w:color w:val="C13A18"/>
          <w:sz w:val="18"/>
          <w:szCs w:val="18"/>
        </w:rPr>
        <w:t xml:space="preserve">QUESTION US-016</w:t>
      </w:r>
    </w:p>
    <w:p>
      <w:pPr>
        <w:spacing w:after="140"/>
      </w:pPr>
      <w:r>
        <w:rPr>
          <w:rFonts w:ascii="Arial" w:cs="Arial" w:eastAsia="Arial" w:hAnsi="Arial"/>
          <w:i/>
          <w:iCs/>
          <w:color w:val="16243E"/>
          <w:sz w:val="22"/>
          <w:szCs w:val="22"/>
        </w:rPr>
        <w:t xml:space="preserve">A buyer wants to know the difference between rescission and specific performance as potential remedies for breach of a real estate contract.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Rescission can only be used by sellers, and specific performance can only be used by buyers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Rescission unwinds the contract and returns the parties to their pre-contract position, while specific performance is a court order compelling a party to actually complete the transaction as agreed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Neither remedy is available in real estate transactions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They are two names for the exact same remedy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Both remedies can potentially be sought by either buyer or seller depending on the circumstances of the breach, not limited to one party each.</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Rescission cancels the contract and restores the parties to their original positions, while specific performance forces actual completion of the transaction, and courts often favor specific performance in real estate due to property's unique nature.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Both rescission and specific performance are recognized and commonly discussed remedies in real estate contract disputes.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These are distinct legal remedies with very different effects, not interchangeable terms.</w:t>
      </w:r>
    </w:p>
    <w:p>
      <w:pPr>
        <w:spacing w:after="60" w:before="260"/>
      </w:pPr>
      <w:r>
        <w:rPr>
          <w:rFonts w:ascii="Arial" w:cs="Arial" w:eastAsia="Arial" w:hAnsi="Arial"/>
          <w:b/>
          <w:bCs/>
          <w:color w:val="C13A18"/>
          <w:sz w:val="18"/>
          <w:szCs w:val="18"/>
        </w:rPr>
        <w:t xml:space="preserve">QUESTION US-017</w:t>
      </w:r>
    </w:p>
    <w:p>
      <w:pPr>
        <w:spacing w:after="140"/>
      </w:pPr>
      <w:r>
        <w:rPr>
          <w:rFonts w:ascii="Arial" w:cs="Arial" w:eastAsia="Arial" w:hAnsi="Arial"/>
          <w:i/>
          <w:iCs/>
          <w:color w:val="16243E"/>
          <w:sz w:val="22"/>
          <w:szCs w:val="22"/>
        </w:rPr>
        <w:t xml:space="preserve">A contract includes a mediation clause requiring the parties to attempt mediation before pursuing litigation over a dispute.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Mediation is the same thing as binding arbitration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Mediation clauses eliminate the right to ever pursue litigation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Mediation clauses are unenforceable and have no legal effect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A mediation clause requires the parties to attempt a facilitated negotiation process with a neutral third party before resorting to litigation, and courts often enforce such clauses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Mediation and binding arbitration are distinct processes; mediation is generally non-binding facilitation, while arbitration typically results in a binding decision.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Depending on the clause's exact wording, litigation may still be available if mediation does not resolve the dispute; mediation clauses don't necessarily eliminate all future legal recourse.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Mediation clauses are generally recognized and enforceable contractual dispute resolution provisions.</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Mediation involves a neutral third party helping facilitate a resolution, and when included in a contract, courts commonly expect the parties to attempt this step before or instead of immediately litigating.</w:t>
      </w:r>
    </w:p>
    <w:p>
      <w:pPr>
        <w:spacing w:after="60" w:before="260"/>
      </w:pPr>
      <w:r>
        <w:rPr>
          <w:rFonts w:ascii="Arial" w:cs="Arial" w:eastAsia="Arial" w:hAnsi="Arial"/>
          <w:b/>
          <w:bCs/>
          <w:color w:val="C13A18"/>
          <w:sz w:val="18"/>
          <w:szCs w:val="18"/>
        </w:rPr>
        <w:t xml:space="preserve">QUESTION US-018</w:t>
      </w:r>
    </w:p>
    <w:p>
      <w:pPr>
        <w:spacing w:after="140"/>
      </w:pPr>
      <w:r>
        <w:rPr>
          <w:rFonts w:ascii="Arial" w:cs="Arial" w:eastAsia="Arial" w:hAnsi="Arial"/>
          <w:i/>
          <w:iCs/>
          <w:color w:val="16243E"/>
          <w:sz w:val="22"/>
          <w:szCs w:val="22"/>
        </w:rPr>
        <w:t xml:space="preserve">A buyer wants to know what an 'option contract' generally allows a prospective buyer to do regarding a property.</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An option contract can only be used for undeveloped land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An option contract gives the holder the right, but not the obligation, to purchase the property under specified terms within a defined period, usually in exchange for option money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An option contract obligates the buyer to purchase the property no matter what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An option contract automatically transfers title immediately upon signing</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Options are used across many types of real estate, not limited to undeveloped land.</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An option contract grants the holder a right to purchase within a set timeframe under agreed terms, typically paid for with option consideration, without a firm obligation to close.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defining feature of an option is that it is a right, not an obligation, for the option holder, unlike a standard purchase contract.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Title transfer occurs upon exercise of the option and closing, not automatically at the signing of the option agreement itself.</w:t>
      </w:r>
    </w:p>
    <w:p>
      <w:pPr>
        <w:spacing w:after="60" w:before="260"/>
      </w:pPr>
      <w:r>
        <w:rPr>
          <w:rFonts w:ascii="Arial" w:cs="Arial" w:eastAsia="Arial" w:hAnsi="Arial"/>
          <w:b/>
          <w:bCs/>
          <w:color w:val="C13A18"/>
          <w:sz w:val="18"/>
          <w:szCs w:val="18"/>
        </w:rPr>
        <w:t xml:space="preserve">QUESTION US-019</w:t>
      </w:r>
    </w:p>
    <w:p>
      <w:pPr>
        <w:spacing w:after="140"/>
      </w:pPr>
      <w:r>
        <w:rPr>
          <w:rFonts w:ascii="Arial" w:cs="Arial" w:eastAsia="Arial" w:hAnsi="Arial"/>
          <w:i/>
          <w:iCs/>
          <w:color w:val="16243E"/>
          <w:sz w:val="22"/>
          <w:szCs w:val="22"/>
        </w:rPr>
        <w:t xml:space="preserve">A buyer wants to know what 'novation' means when discussed in connection with an assumed mortgage.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Novation is a substitution of parties in a contract, such as when a lender agrees to release the original borrower and substitute a new borrower as solely liable on the loan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Novation is not a recognized legal concept in real estate finance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Novation means the original borrower remains liable forever, in addition to the new borrower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Novation refers to building a brand-new structure on vacant land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A true novation substitutes a new party for an original one, with the lender's consent, releasing the original borrower from further liability on the loan.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Novation is a recognized and sometimes used legal concept, particularly relevant when discussing formal loan assumptions and liability release.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Novation is specifically about releasing the original party from liability, the opposite of leaving them liable forever alongside the new party.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term relates to substitution of contractual parties/obligations, not to new construction.</w:t>
      </w:r>
    </w:p>
    <w:p>
      <w:pPr>
        <w:spacing w:after="60" w:before="260"/>
      </w:pPr>
      <w:r>
        <w:rPr>
          <w:rFonts w:ascii="Arial" w:cs="Arial" w:eastAsia="Arial" w:hAnsi="Arial"/>
          <w:b/>
          <w:bCs/>
          <w:color w:val="C13A18"/>
          <w:sz w:val="18"/>
          <w:szCs w:val="18"/>
        </w:rPr>
        <w:t xml:space="preserve">QUESTION US-020</w:t>
      </w:r>
    </w:p>
    <w:p>
      <w:pPr>
        <w:spacing w:after="140"/>
      </w:pPr>
      <w:r>
        <w:rPr>
          <w:rFonts w:ascii="Arial" w:cs="Arial" w:eastAsia="Arial" w:hAnsi="Arial"/>
          <w:i/>
          <w:iCs/>
          <w:color w:val="16243E"/>
          <w:sz w:val="22"/>
          <w:szCs w:val="22"/>
        </w:rPr>
        <w:t xml:space="preserve">A buyer and seller include an 'as-is' clause in their purchase contract. The buyer wants to know what this generally means for the seller's disclosure obligations.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An 'as-is' clause generally means the seller will not make repairs, but it typically does not eliminate the seller's separate legal obligation to disclose known material defects, which varies by jurisdiction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An 'as-is' clause is only used in foreclosure sales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An 'as-is' clause eliminates all seller disclosure obligations regarding known material defects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An 'as-is' clause means the buyer waives the right to ever inspect the property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distinction matters: 'as-is' typically shifts repair responsibility to the buyer, but known material defect disclosure obligations often remain a separate legal requirement depending on the jurisdiction.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'As-is' clauses appear in many types of sales, not solely foreclosure transactions.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An 'as-is' clause is generally about repair responsibility, not a blanket waiver of a seller's separate duty to disclose known material defects, which many jurisdictions still require.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An 'as-is' sale does not automatically waive the buyer's right to inspect; inspection contingencies are a separate, negotiable contract term.</w:t>
      </w:r>
    </w:p>
    <w:p>
      <w:r>
        <w:br w:type="page"/>
      </w:r>
    </w:p>
    <w:p>
      <w:pPr>
        <w:pStyle w:val="Heading1"/>
        <w:spacing w:after="60" w:before="200"/>
      </w:pPr>
      <w:r>
        <w:rPr>
          <w:rFonts w:ascii="Arial" w:cs="Arial" w:eastAsia="Arial" w:hAnsi="Arial"/>
          <w:color w:val="16243E"/>
        </w:rPr>
        <w:t xml:space="preserve">National: Fair Housing (Federal)</w:t>
      </w:r>
    </w:p>
    <w:p>
      <w:pPr>
        <w:pBdr>
          <w:bottom w:val="single" w:color="E5431F" w:sz="8" w:space="4"/>
        </w:pBdr>
        <w:spacing w:after="300"/>
      </w:pPr>
      <w:r>
        <w:rPr>
          <w:rFonts w:ascii="Arial" w:cs="Arial" w:eastAsia="Arial" w:hAnsi="Arial"/>
          <w:i/>
          <w:iCs/>
          <w:color w:val="677081"/>
          <w:sz w:val="18"/>
          <w:szCs w:val="18"/>
        </w:rPr>
        <w:t xml:space="preserve">10 questions in this section</w:t>
      </w:r>
    </w:p>
    <w:p>
      <w:pPr>
        <w:spacing w:after="60" w:before="260"/>
      </w:pPr>
      <w:r>
        <w:rPr>
          <w:rFonts w:ascii="Arial" w:cs="Arial" w:eastAsia="Arial" w:hAnsi="Arial"/>
          <w:b/>
          <w:bCs/>
          <w:color w:val="C13A18"/>
          <w:sz w:val="18"/>
          <w:szCs w:val="18"/>
        </w:rPr>
        <w:t xml:space="preserve">QUESTION US-021</w:t>
      </w:r>
    </w:p>
    <w:p>
      <w:pPr>
        <w:spacing w:after="140"/>
      </w:pPr>
      <w:r>
        <w:rPr>
          <w:rFonts w:ascii="Arial" w:cs="Arial" w:eastAsia="Arial" w:hAnsi="Arial"/>
          <w:i/>
          <w:iCs/>
          <w:color w:val="16243E"/>
          <w:sz w:val="22"/>
          <w:szCs w:val="22"/>
        </w:rPr>
        <w:t xml:space="preserve">A licensee wants to know which federal law first established the core protected classes of race, color, religion, sex, and national origin in housing.</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Americans with Disabilities Act of 1990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RESPA of 1974</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The Fair Housing Act of 1968 (Title VIII of the Civil Rights Act)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Civil Rights Act of 1964</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ADA of 1990 primarily addresses disability discrimination in public accommodations and employment, and is a separate law from the Fair Housing Act.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RESPA addresses settlement procedures and costs in residential mortgage transactions, unrelated to establishing these protected classes.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The Fair Housing Act of 1968 is the federal law that established these core protected classes in housing and was later amended to add familial status and disability.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1964 Civil Rights Act addressed other areas like public accommodations and employment, not the core federal housing discrimination protections.</w:t>
      </w:r>
    </w:p>
    <w:p>
      <w:pPr>
        <w:spacing w:after="60" w:before="260"/>
      </w:pPr>
      <w:r>
        <w:rPr>
          <w:rFonts w:ascii="Arial" w:cs="Arial" w:eastAsia="Arial" w:hAnsi="Arial"/>
          <w:b/>
          <w:bCs/>
          <w:color w:val="C13A18"/>
          <w:sz w:val="18"/>
          <w:szCs w:val="18"/>
        </w:rPr>
        <w:t xml:space="preserve">QUESTION US-022</w:t>
      </w:r>
    </w:p>
    <w:p>
      <w:pPr>
        <w:spacing w:after="140"/>
      </w:pPr>
      <w:r>
        <w:rPr>
          <w:rFonts w:ascii="Arial" w:cs="Arial" w:eastAsia="Arial" w:hAnsi="Arial"/>
          <w:i/>
          <w:iCs/>
          <w:color w:val="16243E"/>
          <w:sz w:val="22"/>
          <w:szCs w:val="22"/>
        </w:rPr>
        <w:t xml:space="preserve">A licensee wants to know when familial status and disability were added as protected classes to the federal Fair Housing Act.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They were added through the Fair Housing Amendments Act of 1988</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They have never been added; only state laws cover these categories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They were part of the original 1968 Act and have never been amended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They were added in 2020 as part of a modern federal update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The Fair Housing Amendments Act of 1988 added familial status and disability, expanding the Act's protected classes to the seven recognized today.</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These are in fact protected at the federal level, not solely through state law.</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original 1968 Act did not include these two categories; they were added later through amendment.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amendment occurred in 1988, not 2020.</w:t>
      </w:r>
    </w:p>
    <w:p>
      <w:pPr>
        <w:spacing w:after="60" w:before="260"/>
      </w:pPr>
      <w:r>
        <w:rPr>
          <w:rFonts w:ascii="Arial" w:cs="Arial" w:eastAsia="Arial" w:hAnsi="Arial"/>
          <w:b/>
          <w:bCs/>
          <w:color w:val="C13A18"/>
          <w:sz w:val="18"/>
          <w:szCs w:val="18"/>
        </w:rPr>
        <w:t xml:space="preserve">QUESTION US-023</w:t>
      </w:r>
    </w:p>
    <w:p>
      <w:pPr>
        <w:spacing w:after="140"/>
      </w:pPr>
      <w:r>
        <w:rPr>
          <w:rFonts w:ascii="Arial" w:cs="Arial" w:eastAsia="Arial" w:hAnsi="Arial"/>
          <w:i/>
          <w:iCs/>
          <w:color w:val="16243E"/>
          <w:sz w:val="22"/>
          <w:szCs w:val="22"/>
        </w:rPr>
        <w:t xml:space="preserve">A property manager denies a rental application because the applicant is a single mother with two young children, believing a two-bedroom unit is 'too crowded' for that family size.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may constitute illegal discrimination based on familial status, since occupancy standards must be reasonable and consistently applied, not used as a pretext to exclude families with children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acceptable because two-bedroom units are inherently for adults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a legitimate occupancy-based business decision with no fair housing implications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is only prohibited if it happens to married couples with children, not single parents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Legitimate occupancy standards must be reasonable, consistently applied, and not function as a means of excluding families with children, who are protected under familial status.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no such rule reserving certain bedroom counts exclusively for adult households; that assumption is itself the kind of stereotype fair housing law prohibits.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Blanket assumptions about family size and 'crowding' that specifically target families with children can be a pretext for illegal discrimination rather than a neutral occupancy policy.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Familial status protections apply to single parents and married couples with children alike; the marital status of the parent is not a relevant distinction here.</w:t>
      </w:r>
    </w:p>
    <w:p>
      <w:pPr>
        <w:spacing w:after="60" w:before="260"/>
      </w:pPr>
      <w:r>
        <w:rPr>
          <w:rFonts w:ascii="Arial" w:cs="Arial" w:eastAsia="Arial" w:hAnsi="Arial"/>
          <w:b/>
          <w:bCs/>
          <w:color w:val="C13A18"/>
          <w:sz w:val="18"/>
          <w:szCs w:val="18"/>
        </w:rPr>
        <w:t xml:space="preserve">QUESTION US-024</w:t>
      </w:r>
    </w:p>
    <w:p>
      <w:pPr>
        <w:spacing w:after="140"/>
      </w:pPr>
      <w:r>
        <w:rPr>
          <w:rFonts w:ascii="Arial" w:cs="Arial" w:eastAsia="Arial" w:hAnsi="Arial"/>
          <w:i/>
          <w:iCs/>
          <w:color w:val="16243E"/>
          <w:sz w:val="22"/>
          <w:szCs w:val="22"/>
        </w:rPr>
        <w:t xml:space="preserve">A lender's underwriting policy results in a statistically significant pattern of denying loans to applicants in majority-minority neighborhoods at a much higher rate than similarly qualified applicants elsewhere, even though the policy does not explicitly mention race.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cannot be illegal since the policy never explicitly mentions race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only a concern if it happens to fewer than five applicants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Disparate impact claims do not exist under federal fair housing law</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This could raise a disparate impact concern under fair housing law, since a facially neutral policy that has a discriminatory effect can still be challenged</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policy can be facially neutral in its wording and still be found discriminatory if it produces a disproportionate, unjustified negative effect on a protected class.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no numeric floor like this; disparate impact analysis typically looks at statistical patterns and their justification, not a specific headcount threshold.</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Disparate impact is a recognized legal theory that has been applied in federal fair housing enforcement and litigation.</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Disparate impact theory allows challenges to facially neutral policies or practices that have a discriminatory effect and lack sufficient legitimate business justification.</w:t>
      </w:r>
    </w:p>
    <w:p>
      <w:pPr>
        <w:spacing w:after="60" w:before="260"/>
      </w:pPr>
      <w:r>
        <w:rPr>
          <w:rFonts w:ascii="Arial" w:cs="Arial" w:eastAsia="Arial" w:hAnsi="Arial"/>
          <w:b/>
          <w:bCs/>
          <w:color w:val="C13A18"/>
          <w:sz w:val="18"/>
          <w:szCs w:val="18"/>
        </w:rPr>
        <w:t xml:space="preserve">QUESTION US-025</w:t>
      </w:r>
    </w:p>
    <w:p>
      <w:pPr>
        <w:spacing w:after="140"/>
      </w:pPr>
      <w:r>
        <w:rPr>
          <w:rFonts w:ascii="Arial" w:cs="Arial" w:eastAsia="Arial" w:hAnsi="Arial"/>
          <w:i/>
          <w:iCs/>
          <w:color w:val="16243E"/>
          <w:sz w:val="22"/>
          <w:szCs w:val="22"/>
        </w:rPr>
        <w:t xml:space="preserve">A landlord wants to know whether they can refuse to rent to someone solely because that person has a documented history of a mental health condition that is currently well-managed and poses no safety risk.</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refusal is permitted since mental health conditions are not covered by fair housing law</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refusal is required by law to protect other tenants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refusal is permitted only if the landlord privately dislikes the diagnosis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This refusal would likely violate fair housing law, since mental health conditions can qualify as a disability, and blanket refusals based on a diagnosis rather than individualized, legitimate safety concerns are generally prohibited</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Mental health conditions can and often do qualify as disabilities under the Fair Housing Act's broad definition.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no such legal requirement to exclude someone based on a managed mental health condition; in fact, doing so would likely be the discriminatory act.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Personal discomfort with a diagnosis is not a legitimate legal basis for refusing housing.</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A blanket refusal based on a diagnosis, without an individualized, legitimate, and substantiated safety or property concern, generally runs afoul of disability discrimination protections.</w:t>
      </w:r>
    </w:p>
    <w:p>
      <w:pPr>
        <w:spacing w:after="60" w:before="260"/>
      </w:pPr>
      <w:r>
        <w:rPr>
          <w:rFonts w:ascii="Arial" w:cs="Arial" w:eastAsia="Arial" w:hAnsi="Arial"/>
          <w:b/>
          <w:bCs/>
          <w:color w:val="C13A18"/>
          <w:sz w:val="18"/>
          <w:szCs w:val="18"/>
        </w:rPr>
        <w:t xml:space="preserve">QUESTION US-026</w:t>
      </w:r>
    </w:p>
    <w:p>
      <w:pPr>
        <w:spacing w:after="140"/>
      </w:pPr>
      <w:r>
        <w:rPr>
          <w:rFonts w:ascii="Arial" w:cs="Arial" w:eastAsia="Arial" w:hAnsi="Arial"/>
          <w:i/>
          <w:iCs/>
          <w:color w:val="16243E"/>
          <w:sz w:val="22"/>
          <w:szCs w:val="22"/>
        </w:rPr>
        <w:t xml:space="preserve">A real estate brokerage's advertisement for new listings consistently uses only white models in every photo and never includes any other groups across dozens of ads over time.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Advertising imagery is entirely unregulated under fair housing law</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Advertising that consistently and exclusively represents only one group, over a pattern of ads, can raise fair housing advertising concerns about creating an exclusionary or discouraging impression to other groups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is only a concern if a specific complaint is filed within 24 hours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pattern has no fair housing relevance since it involves marketing imagery rather than direct transactions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Advertising imagery, along with advertising language, falls within the scope of fair housing advertising guidance and enforcement.</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Guidance in this area has recognized that consistently exclusionary imagery in advertising over a pattern of ads can suggest a preference or limitation, which is part of what fair housing advertising rules aim to prevent.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There's no such short filing-window requirement that determines whether a pattern raises a legitimate concern.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Fair housing advertising rules do extend to imagery and its potential to convey a discriminatory preference, not solely to direct transactional conduct.</w:t>
      </w:r>
    </w:p>
    <w:p>
      <w:pPr>
        <w:spacing w:after="60" w:before="260"/>
      </w:pPr>
      <w:r>
        <w:rPr>
          <w:rFonts w:ascii="Arial" w:cs="Arial" w:eastAsia="Arial" w:hAnsi="Arial"/>
          <w:b/>
          <w:bCs/>
          <w:color w:val="C13A18"/>
          <w:sz w:val="18"/>
          <w:szCs w:val="18"/>
        </w:rPr>
        <w:t xml:space="preserve">QUESTION US-027</w:t>
      </w:r>
    </w:p>
    <w:p>
      <w:pPr>
        <w:spacing w:after="140"/>
      </w:pPr>
      <w:r>
        <w:rPr>
          <w:rFonts w:ascii="Arial" w:cs="Arial" w:eastAsia="Arial" w:hAnsi="Arial"/>
          <w:i/>
          <w:iCs/>
          <w:color w:val="16243E"/>
          <w:sz w:val="22"/>
          <w:szCs w:val="22"/>
        </w:rPr>
        <w:t xml:space="preserve">A tenant with a mobility disability asks their landlord for permission to install grab bars in the bathroom at the tenant's own expense, with an agreement to restore the unit upon move-out if reasonably required.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landlord must pay for the installation themselves regardless of the tenant's own funding offer</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This is generally a request for a reasonable modification, which landlords are typically required to allow, though they may require reasonable conditions such as restoration when appropriate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kind of request is not covered by any fair housing protections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landlord can refuse for any reason since it is their property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For reasonable modifications, unlike reasonable accommodations to policies, the tenant is often responsible for the cost, which is consistent with the tenant's own offer in this scenario, not an obligation automatically placed on the landlord.</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Reasonable modification requests, physical changes to the unit needed because of a disability, are generally required to be permitted, and landlords can often impose reasonable conditions, like restoration requirements, depending on the circumstances.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Reasonable modification requests tied to a disability are squarely covered by fair housing protections.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Unrestricted refusal is not typically permitted when a legitimate reasonable modification request is made under fair housing law.</w:t>
      </w:r>
    </w:p>
    <w:p>
      <w:pPr>
        <w:spacing w:after="60" w:before="260"/>
      </w:pPr>
      <w:r>
        <w:rPr>
          <w:rFonts w:ascii="Arial" w:cs="Arial" w:eastAsia="Arial" w:hAnsi="Arial"/>
          <w:b/>
          <w:bCs/>
          <w:color w:val="C13A18"/>
          <w:sz w:val="18"/>
          <w:szCs w:val="18"/>
        </w:rPr>
        <w:t xml:space="preserve">QUESTION US-028</w:t>
      </w:r>
    </w:p>
    <w:p>
      <w:pPr>
        <w:spacing w:after="140"/>
      </w:pPr>
      <w:r>
        <w:rPr>
          <w:rFonts w:ascii="Arial" w:cs="Arial" w:eastAsia="Arial" w:hAnsi="Arial"/>
          <w:i/>
          <w:iCs/>
          <w:color w:val="16243E"/>
          <w:sz w:val="22"/>
          <w:szCs w:val="22"/>
        </w:rPr>
        <w:t xml:space="preserve">A licensee wants to know the difference between a 'reasonable accommodation' and a 'reasonable modification' under fair housing law as applied to a tenant with a disability.</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A reasonable accommodation is generally a change to a rule, policy, or practice, while a reasonable modification is generally a physical change to the unit or property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They mean exactly the same thing and are used interchangeably with no distinction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Neither concept applies to rental housing, only to home purchases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reasonable accommodation only applies to landlords, and reasonable modification only applies to real estate agents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the standard legal distinction: an accommodation adjusts a rule or practice (like a no-pets policy for a service animal), while a modification involves a physical alteration to the premises (like a ramp).</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These terms are legally distinct concepts, not interchangeable synonyms.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Both reasonable accommodation and reasonable modification concepts are highly relevant to rental housing, in addition to other housing contexts.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Both concepts are primarily discussed in the context of housing providers such as landlords, not tied to a specific professional role like agents.</w:t>
      </w:r>
    </w:p>
    <w:p>
      <w:pPr>
        <w:spacing w:after="60" w:before="260"/>
      </w:pPr>
      <w:r>
        <w:rPr>
          <w:rFonts w:ascii="Arial" w:cs="Arial" w:eastAsia="Arial" w:hAnsi="Arial"/>
          <w:b/>
          <w:bCs/>
          <w:color w:val="C13A18"/>
          <w:sz w:val="18"/>
          <w:szCs w:val="18"/>
        </w:rPr>
        <w:t xml:space="preserve">QUESTION US-029</w:t>
      </w:r>
    </w:p>
    <w:p>
      <w:pPr>
        <w:spacing w:after="140"/>
      </w:pPr>
      <w:r>
        <w:rPr>
          <w:rFonts w:ascii="Arial" w:cs="Arial" w:eastAsia="Arial" w:hAnsi="Arial"/>
          <w:i/>
          <w:iCs/>
          <w:color w:val="16243E"/>
          <w:sz w:val="22"/>
          <w:szCs w:val="22"/>
        </w:rPr>
        <w:t xml:space="preserve">A licensee wants to know which federal agency primarily enforces the Fair Housing Act at the national level.</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Federal Trade Commission (FTC)</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Federal Reserve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The U.S. Department of Housing and Urban Development (HUD)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Internal Revenue Service (IRS)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FTC handles consumer protection and antitrust matters generally, but HUD is the primary enforcer of the Fair Housing Act specifically.</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Federal Reserve oversees monetary policy and banking regulation, not fair housing enforcement.</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HUD is the primary federal agency responsible for enforcing the Fair Housing Act and investigating housing discrimination complaints.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IRS handles federal tax matters, not fair housing enforcement.</w:t>
      </w:r>
    </w:p>
    <w:p>
      <w:pPr>
        <w:spacing w:after="60" w:before="260"/>
      </w:pPr>
      <w:r>
        <w:rPr>
          <w:rFonts w:ascii="Arial" w:cs="Arial" w:eastAsia="Arial" w:hAnsi="Arial"/>
          <w:b/>
          <w:bCs/>
          <w:color w:val="C13A18"/>
          <w:sz w:val="18"/>
          <w:szCs w:val="18"/>
        </w:rPr>
        <w:t xml:space="preserve">QUESTION US-030</w:t>
      </w:r>
    </w:p>
    <w:p>
      <w:pPr>
        <w:spacing w:after="140"/>
      </w:pPr>
      <w:r>
        <w:rPr>
          <w:rFonts w:ascii="Arial" w:cs="Arial" w:eastAsia="Arial" w:hAnsi="Arial"/>
          <w:i/>
          <w:iCs/>
          <w:color w:val="16243E"/>
          <w:sz w:val="22"/>
          <w:szCs w:val="22"/>
        </w:rPr>
        <w:t xml:space="preserve">A licensee wants to know whether the federal Fair Housing Act's protections extend to discrimination based on someone's status as a victim of domestic violence.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status was added federally in 1968 alongside the original protected classes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Domestic violence victim status is not itself one of the seven federal protected classes, although related discrimination could sometimes intersect with sex-based discrimination claims, and some state/local laws separately protect this status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Domestic violence victim status is one of the seven explicitly listed federal protected classes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status has identical protection to race under federal law</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status was not part of the original 1968 Act's protected classes, nor was it added via the 1988 amendments, which instead added familial status and disability.</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While not a standalone federal category, discrimination connected to domestic violence victim status can sometimes overlap with sex-based discrimination claims, and various states and localities have enacted their own separate protections for this status.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seven federal protected classes are race, color, religion, sex, national origin, familial status, and disability; domestic violence victim status is not itself one of them.</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status does not carry the same explicit, standalone federal protection that race does under the Fair Housing Act.</w:t>
      </w:r>
    </w:p>
    <w:p>
      <w:r>
        <w:br w:type="page"/>
      </w:r>
    </w:p>
    <w:p>
      <w:pPr>
        <w:pStyle w:val="Heading1"/>
        <w:spacing w:after="60" w:before="200"/>
      </w:pPr>
      <w:r>
        <w:rPr>
          <w:rFonts w:ascii="Arial" w:cs="Arial" w:eastAsia="Arial" w:hAnsi="Arial"/>
          <w:color w:val="16243E"/>
        </w:rPr>
        <w:t xml:space="preserve">National: Ownership &amp; Land Use Controls</w:t>
      </w:r>
    </w:p>
    <w:p>
      <w:pPr>
        <w:pBdr>
          <w:bottom w:val="single" w:color="E5431F" w:sz="8" w:space="4"/>
        </w:pBdr>
        <w:spacing w:after="300"/>
      </w:pPr>
      <w:r>
        <w:rPr>
          <w:rFonts w:ascii="Arial" w:cs="Arial" w:eastAsia="Arial" w:hAnsi="Arial"/>
          <w:i/>
          <w:iCs/>
          <w:color w:val="677081"/>
          <w:sz w:val="18"/>
          <w:szCs w:val="18"/>
        </w:rPr>
        <w:t xml:space="preserve">10 questions in this section</w:t>
      </w:r>
    </w:p>
    <w:p>
      <w:pPr>
        <w:spacing w:after="60" w:before="260"/>
      </w:pPr>
      <w:r>
        <w:rPr>
          <w:rFonts w:ascii="Arial" w:cs="Arial" w:eastAsia="Arial" w:hAnsi="Arial"/>
          <w:b/>
          <w:bCs/>
          <w:color w:val="C13A18"/>
          <w:sz w:val="18"/>
          <w:szCs w:val="18"/>
        </w:rPr>
        <w:t xml:space="preserve">QUESTION US-031</w:t>
      </w:r>
    </w:p>
    <w:p>
      <w:pPr>
        <w:spacing w:after="140"/>
      </w:pPr>
      <w:r>
        <w:rPr>
          <w:rFonts w:ascii="Arial" w:cs="Arial" w:eastAsia="Arial" w:hAnsi="Arial"/>
          <w:i/>
          <w:iCs/>
          <w:color w:val="16243E"/>
          <w:sz w:val="22"/>
          <w:szCs w:val="22"/>
        </w:rPr>
        <w:t xml:space="preserve">A city planning commission adopts a comprehensive land use plan and then enacts zoning ordinances to help implement that plan's goals over the next 20 years.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Comprehensive plans and zoning ordinances are unrelated and never connected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 comprehensive plan generally sets a long-term vision for community development, and zoning ordinances are one of the regulatory tools used to help implement that vision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Zoning ordinances always expire automatically after five years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Comprehensive plans are legally binding contracts with individual property owners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These tools are typically connected, with zoning serving as an implementation mechanism for the broader comprehensive plan's goals.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describes the general relationship: the comprehensive plan provides overall direction, while zoning ordinances translate that direction into specific, enforceable land use regulations.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Zoning ordinances remain in effect until formally amended or repealed; they do not have a blanket automatic five-year expiration.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comprehensive plan is a planning document guiding government policy, not a binding contract between the government and individual property owners.</w:t>
      </w:r>
    </w:p>
    <w:p>
      <w:pPr>
        <w:spacing w:after="60" w:before="260"/>
      </w:pPr>
      <w:r>
        <w:rPr>
          <w:rFonts w:ascii="Arial" w:cs="Arial" w:eastAsia="Arial" w:hAnsi="Arial"/>
          <w:b/>
          <w:bCs/>
          <w:color w:val="C13A18"/>
          <w:sz w:val="18"/>
          <w:szCs w:val="18"/>
        </w:rPr>
        <w:t xml:space="preserve">QUESTION US-032</w:t>
      </w:r>
    </w:p>
    <w:p>
      <w:pPr>
        <w:spacing w:after="140"/>
      </w:pPr>
      <w:r>
        <w:rPr>
          <w:rFonts w:ascii="Arial" w:cs="Arial" w:eastAsia="Arial" w:hAnsi="Arial"/>
          <w:i/>
          <w:iCs/>
          <w:color w:val="16243E"/>
          <w:sz w:val="22"/>
          <w:szCs w:val="22"/>
        </w:rPr>
        <w:t xml:space="preserve">A landowner's property was zoned for single-family residential use for decades, and the landowner has been legally operating a small existing retail shop there since before the zoning changed. The zoning has since changed to disallow new commercial uses.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landowner must immediately shut down the shop the moment the zoning changes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landowner must apply for a brand-new zoning classification within 24 hours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Nonconforming uses are automatically illegal regardless of when they began</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existing shop may be able to continue operating as a legal nonconforming use, since it predates the zoning change, though such uses are often subject to certain restrictions on expansion</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pre-existing lawful use is not automatically required to cease immediately simply because the zoning later changed around it.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There's no such rushed 24-hour reclassification requirement in standard zoning administration.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Nonconforming uses are a recognized and legitimate zoning concept precisely because they began legally before a zoning change, not something automatically deemed illegal.</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describes the legal nonconforming use ('grandfathering') doctrine, which generally allows a previously lawful use to continue, though jurisdictions often limit expansion or rebuilding after destruction.</w:t>
      </w:r>
    </w:p>
    <w:p>
      <w:pPr>
        <w:spacing w:after="60" w:before="260"/>
      </w:pPr>
      <w:r>
        <w:rPr>
          <w:rFonts w:ascii="Arial" w:cs="Arial" w:eastAsia="Arial" w:hAnsi="Arial"/>
          <w:b/>
          <w:bCs/>
          <w:color w:val="C13A18"/>
          <w:sz w:val="18"/>
          <w:szCs w:val="18"/>
        </w:rPr>
        <w:t xml:space="preserve">QUESTION US-033</w:t>
      </w:r>
    </w:p>
    <w:p>
      <w:pPr>
        <w:spacing w:after="140"/>
      </w:pPr>
      <w:r>
        <w:rPr>
          <w:rFonts w:ascii="Arial" w:cs="Arial" w:eastAsia="Arial" w:hAnsi="Arial"/>
          <w:i/>
          <w:iCs/>
          <w:color w:val="16243E"/>
          <w:sz w:val="22"/>
          <w:szCs w:val="22"/>
        </w:rPr>
        <w:t xml:space="preserve">A developer wants to build a mixed-use project that doesn't fit neatly within any single existing zoning classification, and works with the city to create a customized zoning designation for the specific site.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type of project can only proceed through eminent domain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is impossible; zoning classifications can never be created for a specific project</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describes a form of flexible zoning tool, sometimes called a planned unit development (PUD) or similar overlay/custom zoning approach, that some jurisdictions use for this kind of situation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approach violates federal law in all cases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Eminent domain concerns government acquisition of private property, an entirely different and unrelated concept from zoning flexibility tools.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Many jurisdictions do offer flexible mechanisms designed precisely for these situations, so 'impossible' overstates the constraint.</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Tools like planned unit developments or custom overlay zoning are specifically designed to accommodate unique, mixed-use projects that don't fit standard single-use zoning categories.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There is no blanket federal prohibition on this kind of local zoning flexibility mechanism.</w:t>
      </w:r>
    </w:p>
    <w:p>
      <w:pPr>
        <w:spacing w:after="60" w:before="260"/>
      </w:pPr>
      <w:r>
        <w:rPr>
          <w:rFonts w:ascii="Arial" w:cs="Arial" w:eastAsia="Arial" w:hAnsi="Arial"/>
          <w:b/>
          <w:bCs/>
          <w:color w:val="C13A18"/>
          <w:sz w:val="18"/>
          <w:szCs w:val="18"/>
        </w:rPr>
        <w:t xml:space="preserve">QUESTION US-034</w:t>
      </w:r>
    </w:p>
    <w:p>
      <w:pPr>
        <w:spacing w:after="140"/>
      </w:pPr>
      <w:r>
        <w:rPr>
          <w:rFonts w:ascii="Arial" w:cs="Arial" w:eastAsia="Arial" w:hAnsi="Arial"/>
          <w:i/>
          <w:iCs/>
          <w:color w:val="16243E"/>
          <w:sz w:val="22"/>
          <w:szCs w:val="22"/>
        </w:rPr>
        <w:t xml:space="preserve">A property owner wants to know the general difference between a general lien and a specific lien.</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General liens can only be created by mechanics and contractors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 general lien attaches to all of a debtor's property, while a specific lien attaches only to a particular piece of property, such as a mechanic's lien on one house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There is no meaningful difference between the two types of liens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specific lien always takes priority over a general lien regardless of recording date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Mechanic's and contractor's liens are examples of specific liens, not general liens; general liens more commonly arise from things like certain judgments or estate taxes.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a general lien, like certain judgment liens, can attach to essentially all property owned by the debtor, while a specific lien, like a mechanic's lien or a mortgage, attaches only to a particular property.</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These are distinct legal concepts with different scope and effect, making the difference meaningful.</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Lien priority typically depends on factors like recording date and lien type under applicable law, not simply on whether a lien is general versus specific.</w:t>
      </w:r>
    </w:p>
    <w:p>
      <w:pPr>
        <w:spacing w:after="60" w:before="260"/>
      </w:pPr>
      <w:r>
        <w:rPr>
          <w:rFonts w:ascii="Arial" w:cs="Arial" w:eastAsia="Arial" w:hAnsi="Arial"/>
          <w:b/>
          <w:bCs/>
          <w:color w:val="C13A18"/>
          <w:sz w:val="18"/>
          <w:szCs w:val="18"/>
        </w:rPr>
        <w:t xml:space="preserve">QUESTION US-035</w:t>
      </w:r>
    </w:p>
    <w:p>
      <w:pPr>
        <w:spacing w:after="140"/>
      </w:pPr>
      <w:r>
        <w:rPr>
          <w:rFonts w:ascii="Arial" w:cs="Arial" w:eastAsia="Arial" w:hAnsi="Arial"/>
          <w:i/>
          <w:iCs/>
          <w:color w:val="16243E"/>
          <w:sz w:val="22"/>
          <w:szCs w:val="22"/>
        </w:rPr>
        <w:t xml:space="preserve">A property owner wants to know what a 'deed restriction' generally is, compared to a public zoning ordinance.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A deed restriction is a private limitation placed on the use of property, often created by a developer or prior owner, and enforced privately rather than by a government zoning authority</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Deed restrictions cannot legally exist alongside zoning laws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 deed restriction automatically overrides all zoning laws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deed restriction is a government regulation identical to zoning</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Deed restrictions are private covenants, often created by a developer, that limit property use and are typically enforced by private parties like neighboring owners or an HOA, rather than a government zoning body.</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Deed restrictions and zoning ordinances commonly coexist, with a property needing to comply with both.</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Neither deed restrictions nor zoning automatically overrides the other; a property is generally subject to the more restrictive of the two applicable regulations in a given situation.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deed restriction is a private, not governmental, land use control, distinguishing it from public zoning regulation.</w:t>
      </w:r>
    </w:p>
    <w:p>
      <w:pPr>
        <w:spacing w:after="60" w:before="260"/>
      </w:pPr>
      <w:r>
        <w:rPr>
          <w:rFonts w:ascii="Arial" w:cs="Arial" w:eastAsia="Arial" w:hAnsi="Arial"/>
          <w:b/>
          <w:bCs/>
          <w:color w:val="C13A18"/>
          <w:sz w:val="18"/>
          <w:szCs w:val="18"/>
        </w:rPr>
        <w:t xml:space="preserve">QUESTION US-036</w:t>
      </w:r>
    </w:p>
    <w:p>
      <w:pPr>
        <w:spacing w:after="140"/>
      </w:pPr>
      <w:r>
        <w:rPr>
          <w:rFonts w:ascii="Arial" w:cs="Arial" w:eastAsia="Arial" w:hAnsi="Arial"/>
          <w:i/>
          <w:iCs/>
          <w:color w:val="16243E"/>
          <w:sz w:val="22"/>
          <w:szCs w:val="22"/>
        </w:rPr>
        <w:t xml:space="preserve">A property owner wants to know what happens if a private deed restriction conflicts with an existing government zoning ordinance, such as the deed restriction being stricter than the zoning allows.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Deed restrictions expire automatically the moment any zoning change occurs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Generally, a property owner may need to comply with whichever regulation, public zoning or private deed restriction, is more restrictive, since one doesn't automatically override the other</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government zoning ordinance always automatically nullifies any private deed restriction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Private deed restrictions can never be more restrictive than zoning ordinances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Deed restrictions do not automatically terminate simply because a separate, unrelated zoning change occurs; they typically continue according to their own terms.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In many situations, a property owner must comply with whichever restriction, public or private, imposes the tighter limitation, since neither one alone typically preempts the other outright.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Zoning does not automatically nullify a valid private restriction; both can operate simultaneously and generally must both be satisfied.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Private deed restrictions are commonly written to be more restrictive than the applicable zoning, which is part of why understanding both is important.</w:t>
      </w:r>
    </w:p>
    <w:p>
      <w:pPr>
        <w:spacing w:after="60" w:before="260"/>
      </w:pPr>
      <w:r>
        <w:rPr>
          <w:rFonts w:ascii="Arial" w:cs="Arial" w:eastAsia="Arial" w:hAnsi="Arial"/>
          <w:b/>
          <w:bCs/>
          <w:color w:val="C13A18"/>
          <w:sz w:val="18"/>
          <w:szCs w:val="18"/>
        </w:rPr>
        <w:t xml:space="preserve">QUESTION US-037</w:t>
      </w:r>
    </w:p>
    <w:p>
      <w:pPr>
        <w:spacing w:after="140"/>
      </w:pPr>
      <w:r>
        <w:rPr>
          <w:rFonts w:ascii="Arial" w:cs="Arial" w:eastAsia="Arial" w:hAnsi="Arial"/>
          <w:i/>
          <w:iCs/>
          <w:color w:val="16243E"/>
          <w:sz w:val="22"/>
          <w:szCs w:val="22"/>
        </w:rPr>
        <w:t xml:space="preserve">A licensee wants to know what an 'appurtenant easement' is, as compared to an 'easement in gross.'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These two types of easements are functionally identical in every respect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An easement in gross automatically expires after one year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An appurtenant easement can only exist for utility companies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An appurtenant easement benefits a specific parcel of land (the dominant estate) and generally transfers with that land, while an easement in gross benefits a specific person or entity rather than a parcel of land</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These are distinct legal concepts with different transferability and structural characteristics, so they are not functionally identical.</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There is no automatic one-year expiration; the duration of an easement in gross depends on its specific terms.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Utility companies are a common example of easement in gross holders, not appurtenant easement holders tied to benefiting adjoining land.</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an appurtenant easement runs with the benefited (dominant) parcel and typically transfers automatically with it, while an easement in gross is personal to an individual or entity rather than tied to benefiting a specific neighboring parcel.</w:t>
      </w:r>
    </w:p>
    <w:p>
      <w:pPr>
        <w:spacing w:after="60" w:before="260"/>
      </w:pPr>
      <w:r>
        <w:rPr>
          <w:rFonts w:ascii="Arial" w:cs="Arial" w:eastAsia="Arial" w:hAnsi="Arial"/>
          <w:b/>
          <w:bCs/>
          <w:color w:val="C13A18"/>
          <w:sz w:val="18"/>
          <w:szCs w:val="18"/>
        </w:rPr>
        <w:t xml:space="preserve">QUESTION US-038</w:t>
      </w:r>
    </w:p>
    <w:p>
      <w:pPr>
        <w:spacing w:after="140"/>
      </w:pPr>
      <w:r>
        <w:rPr>
          <w:rFonts w:ascii="Arial" w:cs="Arial" w:eastAsia="Arial" w:hAnsi="Arial"/>
          <w:i/>
          <w:iCs/>
          <w:color w:val="16243E"/>
          <w:sz w:val="22"/>
          <w:szCs w:val="22"/>
        </w:rPr>
        <w:t xml:space="preserve">A city wants to designate a historic downtown district and place additional restrictions on exterior building modifications within that district.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Historic district restrictions can never affect privately owned property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Historic district designations and related restrictions are not a recognized form of land use regulation</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Historic preservation districts are a recognized land use control tool that can impose additional requirements, such as design review, on property modifications within the designated area</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Historic district designation automatically transfers ownership of the affected buildings to the city</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Historic district restrictions specifically and commonly apply to privately owned property within the designated boundary.</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Historic preservation districts are a well-established and commonly used form of land use regulation in many municipalities.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describes the general function of historic districts: preserving character through additional review requirements or restrictions on exterior modifications within the designated boundary.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Designation as a historic district does not transfer ownership; property remains privately owned, subject to the added regulatory requirements.</w:t>
      </w:r>
    </w:p>
    <w:p>
      <w:pPr>
        <w:spacing w:after="60" w:before="260"/>
      </w:pPr>
      <w:r>
        <w:rPr>
          <w:rFonts w:ascii="Arial" w:cs="Arial" w:eastAsia="Arial" w:hAnsi="Arial"/>
          <w:b/>
          <w:bCs/>
          <w:color w:val="C13A18"/>
          <w:sz w:val="18"/>
          <w:szCs w:val="18"/>
        </w:rPr>
        <w:t xml:space="preserve">QUESTION US-039</w:t>
      </w:r>
    </w:p>
    <w:p>
      <w:pPr>
        <w:spacing w:after="140"/>
      </w:pPr>
      <w:r>
        <w:rPr>
          <w:rFonts w:ascii="Arial" w:cs="Arial" w:eastAsia="Arial" w:hAnsi="Arial"/>
          <w:i/>
          <w:iCs/>
          <w:color w:val="16243E"/>
          <w:sz w:val="22"/>
          <w:szCs w:val="22"/>
        </w:rPr>
        <w:t xml:space="preserve">A licensee wants to know what 'police power' refers to when discussed as a basis for government land use regulation.</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Police power refers to the government's broader inherent authority to regulate for the health, safety, and general welfare of the public, which includes zoning and land use regulation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Police power only applies to federal agencies, never state or local governments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Police power refers only to the authority of law enforcement officers to make arrests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Police power requires the government to pay compensation every time it is exercised, similar to eminent domain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In land use law, police power refers to the government's broad authority to regulate property for public health, safety, and welfare, which is the underlying legal basis for zoning and similar regulations.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Police power is exercised extensively by state and local governments, particularly in the land use context, not solely at the federal level.</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confuses the general land use law concept with the narrower, everyday meaning of policing/arrest authority.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Unlike eminent domain, which requires just compensation for a taking, police power regulation, like standard zoning, generally does not require compensation as long as it doesn't go so far as to constitute a regulatory taking.</w:t>
      </w:r>
    </w:p>
    <w:p>
      <w:pPr>
        <w:spacing w:after="60" w:before="260"/>
      </w:pPr>
      <w:r>
        <w:rPr>
          <w:rFonts w:ascii="Arial" w:cs="Arial" w:eastAsia="Arial" w:hAnsi="Arial"/>
          <w:b/>
          <w:bCs/>
          <w:color w:val="C13A18"/>
          <w:sz w:val="18"/>
          <w:szCs w:val="18"/>
        </w:rPr>
        <w:t xml:space="preserve">QUESTION US-040</w:t>
      </w:r>
    </w:p>
    <w:p>
      <w:pPr>
        <w:spacing w:after="140"/>
      </w:pPr>
      <w:r>
        <w:rPr>
          <w:rFonts w:ascii="Arial" w:cs="Arial" w:eastAsia="Arial" w:hAnsi="Arial"/>
          <w:i/>
          <w:iCs/>
          <w:color w:val="16243E"/>
          <w:sz w:val="22"/>
          <w:szCs w:val="22"/>
        </w:rPr>
        <w:t xml:space="preserve">A licensee wants to know the general difference between a taking that requires compensation under eminent domain and a valid exercise of police power through zoning regulation.</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Eminent domain involves the government actually taking property (or a property interest) for public use with required compensation, while reasonable police power regulation, like standard zoning, generally does not require compensation unless it goes so far as to be considered a regulatory taking</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Police power always requires more compensation than eminent domain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There is no legal distinction; both always require the same compensation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Eminent domain never requires any compensation to the property owner</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describes the core distinction: an actual taking under eminent domain requires just compensation, while ordinary land use regulation through police power generally does not, unless the regulation is so restrictive that courts find it constitutes a regulatory taking.</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reverses the typical relationship; eminent domain is specifically defined by its just compensation requirement, unlike standard police power regulation.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These are legally distinct doctrines with different compensation requirements, so treating them as identical is inaccurate.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Eminent domain is defined by the constitutional requirement of just compensation when the government takes private property for public use.</w:t>
      </w:r>
    </w:p>
    <w:p>
      <w:r>
        <w:br w:type="page"/>
      </w:r>
    </w:p>
    <w:p>
      <w:pPr>
        <w:pStyle w:val="Heading1"/>
        <w:spacing w:after="60" w:before="200"/>
      </w:pPr>
      <w:r>
        <w:rPr>
          <w:rFonts w:ascii="Arial" w:cs="Arial" w:eastAsia="Arial" w:hAnsi="Arial"/>
          <w:color w:val="16243E"/>
        </w:rPr>
        <w:t xml:space="preserve">National: Real Estate Finance</w:t>
      </w:r>
    </w:p>
    <w:p>
      <w:pPr>
        <w:pBdr>
          <w:bottom w:val="single" w:color="E5431F" w:sz="8" w:space="4"/>
        </w:pBdr>
        <w:spacing w:after="300"/>
      </w:pPr>
      <w:r>
        <w:rPr>
          <w:rFonts w:ascii="Arial" w:cs="Arial" w:eastAsia="Arial" w:hAnsi="Arial"/>
          <w:i/>
          <w:iCs/>
          <w:color w:val="677081"/>
          <w:sz w:val="18"/>
          <w:szCs w:val="18"/>
        </w:rPr>
        <w:t xml:space="preserve">10 questions in this section</w:t>
      </w:r>
    </w:p>
    <w:p>
      <w:pPr>
        <w:spacing w:after="60" w:before="260"/>
      </w:pPr>
      <w:r>
        <w:rPr>
          <w:rFonts w:ascii="Arial" w:cs="Arial" w:eastAsia="Arial" w:hAnsi="Arial"/>
          <w:b/>
          <w:bCs/>
          <w:color w:val="C13A18"/>
          <w:sz w:val="18"/>
          <w:szCs w:val="18"/>
        </w:rPr>
        <w:t xml:space="preserve">QUESTION US-041</w:t>
      </w:r>
    </w:p>
    <w:p>
      <w:pPr>
        <w:spacing w:after="140"/>
      </w:pPr>
      <w:r>
        <w:rPr>
          <w:rFonts w:ascii="Arial" w:cs="Arial" w:eastAsia="Arial" w:hAnsi="Arial"/>
          <w:i/>
          <w:iCs/>
          <w:color w:val="16243E"/>
          <w:sz w:val="22"/>
          <w:szCs w:val="22"/>
        </w:rPr>
        <w:t xml:space="preserve">A borrower is comparing a conventional loan to a VA-guaranteed loan and wants to understand the general role of the VA guarantee.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VA directly funds every VA loan itself with government money</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The VA guarantees a portion of the loan made by a private lender, which reduces the lender's risk and can allow more favorable terms for eligible veterans, rather than the VA itself typically funding the loan</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VA loans are only available to active-duty personnel, never veterans or eligible surviving spouses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VA guarantees eliminate the need for the borrower to ever make any payments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In most cases, private lenders fund VA loans; the VA's role is to guarantee a portion of the loan rather than directly fund it.</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describes the VA loan program's core structure: a government guarantee on a portion of a privately funded loan, reducing lender risk and often enabling benefits like no down payment for eligible borrowers.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VA loan eligibility extends to qualifying veterans and certain eligible surviving spouses, not solely active-duty service members.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VA guarantee does not eliminate the borrower's obligation to repay the loan through regular payments.</w:t>
      </w:r>
    </w:p>
    <w:p>
      <w:pPr>
        <w:spacing w:after="60" w:before="260"/>
      </w:pPr>
      <w:r>
        <w:rPr>
          <w:rFonts w:ascii="Arial" w:cs="Arial" w:eastAsia="Arial" w:hAnsi="Arial"/>
          <w:b/>
          <w:bCs/>
          <w:color w:val="C13A18"/>
          <w:sz w:val="18"/>
          <w:szCs w:val="18"/>
        </w:rPr>
        <w:t xml:space="preserve">QUESTION US-042</w:t>
      </w:r>
    </w:p>
    <w:p>
      <w:pPr>
        <w:spacing w:after="140"/>
      </w:pPr>
      <w:r>
        <w:rPr>
          <w:rFonts w:ascii="Arial" w:cs="Arial" w:eastAsia="Arial" w:hAnsi="Arial"/>
          <w:i/>
          <w:iCs/>
          <w:color w:val="16243E"/>
          <w:sz w:val="22"/>
          <w:szCs w:val="22"/>
        </w:rPr>
        <w:t xml:space="preserve">A licensee wants to know the general purpose of the secondary mortgage market, including entities sometimes referenced like Fannie Mae and Freddie Mac.</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secondary market determines local property tax rates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secondary market is where buyers and sellers negotiate home purchase prices directly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secondary market only exists for commercial real estate loans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The secondary mortgage market is where existing mortgage loans are bought and sold among investors and institutions, which helps provide liquidity for lenders to originate new loans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Property tax rates are set by local taxing authorities, unrelated to secondary mortgage market activity.</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Direct home purchase negotiation happens in the primary real estate market, not the secondary mortgage market.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secondary mortgage market is heavily involved in residential lending as well, including through entities focused on conventional residential loans.</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The secondary mortgage market allows originating lenders to sell loans to investors, freeing up capital to originate additional loans, which helps keep mortgage credit available and can influence rates.</w:t>
      </w:r>
    </w:p>
    <w:p>
      <w:pPr>
        <w:spacing w:after="60" w:before="260"/>
      </w:pPr>
      <w:r>
        <w:rPr>
          <w:rFonts w:ascii="Arial" w:cs="Arial" w:eastAsia="Arial" w:hAnsi="Arial"/>
          <w:b/>
          <w:bCs/>
          <w:color w:val="C13A18"/>
          <w:sz w:val="18"/>
          <w:szCs w:val="18"/>
        </w:rPr>
        <w:t xml:space="preserve">QUESTION US-043</w:t>
      </w:r>
    </w:p>
    <w:p>
      <w:pPr>
        <w:spacing w:after="140"/>
      </w:pPr>
      <w:r>
        <w:rPr>
          <w:rFonts w:ascii="Arial" w:cs="Arial" w:eastAsia="Arial" w:hAnsi="Arial"/>
          <w:i/>
          <w:iCs/>
          <w:color w:val="16243E"/>
          <w:sz w:val="22"/>
          <w:szCs w:val="22"/>
        </w:rPr>
        <w:t xml:space="preserve">A licensee wants to know what a 'blanket mortgage' generally covers.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blanket mortgage is only used for personal residences, never for investment or development purposes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 blanket mortgage covers more than one parcel of real property under a single loan, often used by developers financing multiple lots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 blanket mortgage covers a single unit within a single-family home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blanket mortgage refers to mortgage insurance covering natural disasters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Blanket mortgages are especially associated with development and investment financing, not primarily personal single residences.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describes the defining feature of a blanket mortgage: securing a single loan against multiple parcels, commonly used by developers who need financing across several lots with the ability to release individual parcels as they sell.</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blanket mortgage is defined by covering multiple properties, not a single unit within one home.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term relates to the scope of the mortgage lien across multiple properties, not to disaster insurance coverage.</w:t>
      </w:r>
    </w:p>
    <w:p>
      <w:pPr>
        <w:spacing w:after="60" w:before="260"/>
      </w:pPr>
      <w:r>
        <w:rPr>
          <w:rFonts w:ascii="Arial" w:cs="Arial" w:eastAsia="Arial" w:hAnsi="Arial"/>
          <w:b/>
          <w:bCs/>
          <w:color w:val="C13A18"/>
          <w:sz w:val="18"/>
          <w:szCs w:val="18"/>
        </w:rPr>
        <w:t xml:space="preserve">QUESTION US-044</w:t>
      </w:r>
    </w:p>
    <w:p>
      <w:pPr>
        <w:spacing w:after="140"/>
      </w:pPr>
      <w:r>
        <w:rPr>
          <w:rFonts w:ascii="Arial" w:cs="Arial" w:eastAsia="Arial" w:hAnsi="Arial"/>
          <w:i/>
          <w:iCs/>
          <w:color w:val="16243E"/>
          <w:sz w:val="22"/>
          <w:szCs w:val="22"/>
        </w:rPr>
        <w:t xml:space="preserve">A licensee wants to know what a 'wraparound mortgage' generally involves.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wraparound mortgage is only available for commercial retail properties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 wraparound mortgage is a new loan that encompasses (wraps around) an existing loan, with the new lender collecting payments and continuing to service the underlying original loan out of those payments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 wraparound mortgage pays off and replaces the existing loan immediately upon origination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 wraparound mortgage requires the original lender's involvement in every case, with no exceptions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Wraparound mortgages have been used in various residential and investment property transactions, not limited to commercial retail.</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describes the standard wraparound structure: a new, larger loan encompasses the existing loan balance, with payments on the new loan used in part to continue servicing the original underlying loan.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defining feature of a wraparound is that the underlying original loan stays in place rather than being immediately paid off.</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Depending on the original loan's due-on-sale clause and other terms, a wraparound may or may not directly involve the original lender's participation; this varies rather than being an absolute requirement.</w:t>
      </w:r>
    </w:p>
    <w:p>
      <w:pPr>
        <w:spacing w:after="60" w:before="260"/>
      </w:pPr>
      <w:r>
        <w:rPr>
          <w:rFonts w:ascii="Arial" w:cs="Arial" w:eastAsia="Arial" w:hAnsi="Arial"/>
          <w:b/>
          <w:bCs/>
          <w:color w:val="C13A18"/>
          <w:sz w:val="18"/>
          <w:szCs w:val="18"/>
        </w:rPr>
        <w:t xml:space="preserve">QUESTION US-045</w:t>
      </w:r>
    </w:p>
    <w:p>
      <w:pPr>
        <w:spacing w:after="140"/>
      </w:pPr>
      <w:r>
        <w:rPr>
          <w:rFonts w:ascii="Arial" w:cs="Arial" w:eastAsia="Arial" w:hAnsi="Arial"/>
          <w:i/>
          <w:iCs/>
          <w:color w:val="16243E"/>
          <w:sz w:val="22"/>
          <w:szCs w:val="22"/>
        </w:rPr>
        <w:t xml:space="preserve">A licensee wants to know what a 'due-on-sale clause' in a mortgage generally allows a lender to do.</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It allows the lender to demand full repayment of the remaining loan balance if the property is sold or transferred without the lender's consent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It allows the borrower to sell the property without ever repaying the loan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It allows the lender to increase the interest rate whenever they choose, with no restriction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It only applies to loans on rental/investment properties, never primary residences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A due-on-sale clause lets the lender call the loan due in full if the property is transferred without consent, which is a key reason unauthorized 'subject to' or informal assumption arrangements carry lender risk.</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clause exists precisely because the lender expects to be repaid (or to approve a transfer) rather than allowing an unaddressed sale to occur without consequence.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clause is about triggering repayment upon transfer, not a general, unrestricted rate-increase mechanism.</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Due-on-sale clauses commonly appear in mortgages on primary residences as well as investment properties.</w:t>
      </w:r>
    </w:p>
    <w:p>
      <w:pPr>
        <w:spacing w:after="60" w:before="260"/>
      </w:pPr>
      <w:r>
        <w:rPr>
          <w:rFonts w:ascii="Arial" w:cs="Arial" w:eastAsia="Arial" w:hAnsi="Arial"/>
          <w:b/>
          <w:bCs/>
          <w:color w:val="C13A18"/>
          <w:sz w:val="18"/>
          <w:szCs w:val="18"/>
        </w:rPr>
        <w:t xml:space="preserve">QUESTION US-046</w:t>
      </w:r>
    </w:p>
    <w:p>
      <w:pPr>
        <w:spacing w:after="140"/>
      </w:pPr>
      <w:r>
        <w:rPr>
          <w:rFonts w:ascii="Arial" w:cs="Arial" w:eastAsia="Arial" w:hAnsi="Arial"/>
          <w:i/>
          <w:iCs/>
          <w:color w:val="16243E"/>
          <w:sz w:val="22"/>
          <w:szCs w:val="22"/>
        </w:rPr>
        <w:t xml:space="preserve">A licensee wants to understand what mortgage insurance premium (MIP) refers to, as distinct from conventional PMI.</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MIP guarantees the property's future resale value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MIP and PMI refer to the exact same insurance product under two different names with no distinction</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MIP typically refers to the mortgage insurance required on FHA-insured loans, while PMI typically refers to private mortgage insurance on conventional loans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MIP is only required on loans with a 50% down payment or more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Mortgage insurance protects the lender against borrower default risk; it does not guarantee anything about the property's future resale value.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While both serve a similar risk-mitigation purpose, MIP and PMI are associated with different loan programs and have different structures and requirements.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the standard distinction used in the industry: MIP is tied to FHA-insured loans, while PMI is the conventional loan equivalent from private mortgage insurers.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Mortgage insurance is generally associated with lower down payment loans, not high down payment loans like 50% or more.</w:t>
      </w:r>
    </w:p>
    <w:p>
      <w:pPr>
        <w:spacing w:after="60" w:before="260"/>
      </w:pPr>
      <w:r>
        <w:rPr>
          <w:rFonts w:ascii="Arial" w:cs="Arial" w:eastAsia="Arial" w:hAnsi="Arial"/>
          <w:b/>
          <w:bCs/>
          <w:color w:val="C13A18"/>
          <w:sz w:val="18"/>
          <w:szCs w:val="18"/>
        </w:rPr>
        <w:t xml:space="preserve">QUESTION US-047</w:t>
      </w:r>
    </w:p>
    <w:p>
      <w:pPr>
        <w:spacing w:after="140"/>
      </w:pPr>
      <w:r>
        <w:rPr>
          <w:rFonts w:ascii="Arial" w:cs="Arial" w:eastAsia="Arial" w:hAnsi="Arial"/>
          <w:i/>
          <w:iCs/>
          <w:color w:val="16243E"/>
          <w:sz w:val="22"/>
          <w:szCs w:val="22"/>
        </w:rPr>
        <w:t xml:space="preserve">A licensee wants to know what 'usury' refers to in lending law.</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Usury refers to charging an interest rate that exceeds the maximum legally allowed rate under applicable law</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Usury only applies to commercial loans, never residential mortgages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Usury refers to the process of foreclosing on a defaulted loan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Usury refers to any interest charged on any loan whatsoever</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usury laws set a maximum legal interest rate, and charging above that legal ceiling is considered usurious.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Usury laws and their applicable limits can potentially touch various loan types, and the concept is not limited exclusively to commercial lending.</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Usury concerns excessive interest rates, an entirely different concept from the foreclosure process itself.</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Charging interest itself is not usury; usury specifically refers to charging beyond the legally permitted maximum rate.</w:t>
      </w:r>
    </w:p>
    <w:p>
      <w:pPr>
        <w:spacing w:after="60" w:before="260"/>
      </w:pPr>
      <w:r>
        <w:rPr>
          <w:rFonts w:ascii="Arial" w:cs="Arial" w:eastAsia="Arial" w:hAnsi="Arial"/>
          <w:b/>
          <w:bCs/>
          <w:color w:val="C13A18"/>
          <w:sz w:val="18"/>
          <w:szCs w:val="18"/>
        </w:rPr>
        <w:t xml:space="preserve">QUESTION US-048</w:t>
      </w:r>
    </w:p>
    <w:p>
      <w:pPr>
        <w:spacing w:after="140"/>
      </w:pPr>
      <w:r>
        <w:rPr>
          <w:rFonts w:ascii="Arial" w:cs="Arial" w:eastAsia="Arial" w:hAnsi="Arial"/>
          <w:i/>
          <w:iCs/>
          <w:color w:val="16243E"/>
          <w:sz w:val="22"/>
          <w:szCs w:val="22"/>
        </w:rPr>
        <w:t xml:space="preserve">A licensee wants to know the general purpose of the Truth in Lending Act (TILA) in residential mortgage transactions.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TILA regulates the physical inspection process for homes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TILA sets the maximum sale price for any home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TILA only applies to cash transactions with no financing involved</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TILA is a federal law requiring lenders to disclose the true cost of credit to borrowers, including the annual percentage rate (APR) and finance charges, to promote informed comparison shopping</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Home inspections are governed by separate practices and are unrelated to TILA, which is a lending disclosure law.</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TILA does not regulate or cap home sale prices; it is focused on credit cost disclosure.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TILA applies specifically to consumer credit transactions; a purely cash purchase, without financing, would not trigger TILA's lending disclosure requirements.</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TILA requires standardized disclosure of credit costs, like the APR, so borrowers can more meaningfully compare loan offers across different lenders.</w:t>
      </w:r>
    </w:p>
    <w:p>
      <w:pPr>
        <w:spacing w:after="60" w:before="260"/>
      </w:pPr>
      <w:r>
        <w:rPr>
          <w:rFonts w:ascii="Arial" w:cs="Arial" w:eastAsia="Arial" w:hAnsi="Arial"/>
          <w:b/>
          <w:bCs/>
          <w:color w:val="C13A18"/>
          <w:sz w:val="18"/>
          <w:szCs w:val="18"/>
        </w:rPr>
        <w:t xml:space="preserve">QUESTION US-049</w:t>
      </w:r>
    </w:p>
    <w:p>
      <w:pPr>
        <w:spacing w:after="140"/>
      </w:pPr>
      <w:r>
        <w:rPr>
          <w:rFonts w:ascii="Arial" w:cs="Arial" w:eastAsia="Arial" w:hAnsi="Arial"/>
          <w:i/>
          <w:iCs/>
          <w:color w:val="16243E"/>
          <w:sz w:val="22"/>
          <w:szCs w:val="22"/>
        </w:rPr>
        <w:t xml:space="preserve">A licensee wants to know what an 'index' and a 'margin' refer to when discussing how an adjustable-rate mortgage's interest rate is calculated after the initial fixed period.</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The index is a benchmark rate that fluctuates with market conditions, and the margin is a fixed percentage added to the index by the lender; together they generally determine the loan's adjusted interest rate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index and margin are two names for the exact same number</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index and margin only matter for fixed-rate mortgages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The margin is set by the borrower, not the lender</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describes the standard ARM rate calculation: index (a variable market benchmark) plus margin (a fixed lender markup) generally equals the adjusted interest rate, subject to any applicable caps.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These are two distinct components that combine to determine the adjusted rate, not interchangeable synonyms for the same figure.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Index and margin concepts are specific to adjustable-rate loans; a fixed-rate mortgage's rate does not change based on an index or margin after closing.</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margin is set by the lender as part of the loan terms at origination, not chosen by the borrower.</w:t>
      </w:r>
    </w:p>
    <w:p>
      <w:pPr>
        <w:spacing w:after="60" w:before="260"/>
      </w:pPr>
      <w:r>
        <w:rPr>
          <w:rFonts w:ascii="Arial" w:cs="Arial" w:eastAsia="Arial" w:hAnsi="Arial"/>
          <w:b/>
          <w:bCs/>
          <w:color w:val="C13A18"/>
          <w:sz w:val="18"/>
          <w:szCs w:val="18"/>
        </w:rPr>
        <w:t xml:space="preserve">QUESTION US-050</w:t>
      </w:r>
    </w:p>
    <w:p>
      <w:pPr>
        <w:spacing w:after="140"/>
      </w:pPr>
      <w:r>
        <w:rPr>
          <w:rFonts w:ascii="Arial" w:cs="Arial" w:eastAsia="Arial" w:hAnsi="Arial"/>
          <w:i/>
          <w:iCs/>
          <w:color w:val="16243E"/>
          <w:sz w:val="22"/>
          <w:szCs w:val="22"/>
        </w:rPr>
        <w:t xml:space="preserve">A licensee wants to know what happens to remaining loan proceeds if a foreclosure sale generates more money than is owed on the defaulted loan plus foreclosure costs.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lender automatically keeps 100% of any surplus proceeds beyond what is owed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The local government automatically keeps any surplus proceeds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Any surplus proceeds after satisfying the loan balance, foreclosure costs, and any junior liens in priority order are generally owed back to the former owner (or other rightful claimants)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Surplus proceeds are simply destroyed and cannot be claimed by anyone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lender is generally entitled only to what satisfies the debt and associated costs, not to keep an unrelated windfall beyond that.</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Local governments generally aren't entitled to surplus foreclosure proceeds beyond any taxes or assessments that may be owed and paid in the priority process.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After paying the defaulted loan, foreclosure costs, and any junior liens in their proper priority, remaining surplus funds are generally distributed back to the former owner or other rightful claimants.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Surplus funds are not simply discarded; there is a legal process for distributing them to those entitled to receive them.</w:t>
      </w:r>
    </w:p>
    <w:p>
      <w:r>
        <w:br w:type="page"/>
      </w:r>
    </w:p>
    <w:p>
      <w:pPr>
        <w:pStyle w:val="Heading1"/>
        <w:spacing w:after="60" w:before="200"/>
      </w:pPr>
      <w:r>
        <w:rPr>
          <w:rFonts w:ascii="Arial" w:cs="Arial" w:eastAsia="Arial" w:hAnsi="Arial"/>
          <w:color w:val="16243E"/>
        </w:rPr>
        <w:t xml:space="preserve">National: Valuation &amp; Appraisal</w:t>
      </w:r>
    </w:p>
    <w:p>
      <w:pPr>
        <w:pBdr>
          <w:bottom w:val="single" w:color="E5431F" w:sz="8" w:space="4"/>
        </w:pBdr>
        <w:spacing w:after="300"/>
      </w:pPr>
      <w:r>
        <w:rPr>
          <w:rFonts w:ascii="Arial" w:cs="Arial" w:eastAsia="Arial" w:hAnsi="Arial"/>
          <w:i/>
          <w:iCs/>
          <w:color w:val="677081"/>
          <w:sz w:val="18"/>
          <w:szCs w:val="18"/>
        </w:rPr>
        <w:t xml:space="preserve">8 questions in this section</w:t>
      </w:r>
    </w:p>
    <w:p>
      <w:pPr>
        <w:spacing w:after="60" w:before="260"/>
      </w:pPr>
      <w:r>
        <w:rPr>
          <w:rFonts w:ascii="Arial" w:cs="Arial" w:eastAsia="Arial" w:hAnsi="Arial"/>
          <w:b/>
          <w:bCs/>
          <w:color w:val="C13A18"/>
          <w:sz w:val="18"/>
          <w:szCs w:val="18"/>
        </w:rPr>
        <w:t xml:space="preserve">QUESTION US-051</w:t>
      </w:r>
    </w:p>
    <w:p>
      <w:pPr>
        <w:spacing w:after="140"/>
      </w:pPr>
      <w:r>
        <w:rPr>
          <w:rFonts w:ascii="Arial" w:cs="Arial" w:eastAsia="Arial" w:hAnsi="Arial"/>
          <w:i/>
          <w:iCs/>
          <w:color w:val="16243E"/>
          <w:sz w:val="22"/>
          <w:szCs w:val="22"/>
        </w:rPr>
        <w:t xml:space="preserve">An appraiser is valuing a single-family home and primarily uses recent sales of similar nearby homes, adjusted for differences in features, to reach an opinion of value.</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describes the sales comparison approach to value, which relies on analyzing comparable recent sales adjusted for differences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describes the income approach to value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describes the cost approach to value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approach is not a recognized valuation method</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the classic description of the sales comparison approach, commonly used for single-family residential appraisals, relying on adjusted comparable sales data.</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income approach values property based on its income-generating potential, which is not the method described here.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cost approach estimates value based on land value plus depreciated cost to reconstruct improvements, not primarily on comparable sales.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sales comparison approach is one of the three widely recognized traditional appraisal approaches to value.</w:t>
      </w:r>
    </w:p>
    <w:p>
      <w:pPr>
        <w:spacing w:after="60" w:before="260"/>
      </w:pPr>
      <w:r>
        <w:rPr>
          <w:rFonts w:ascii="Arial" w:cs="Arial" w:eastAsia="Arial" w:hAnsi="Arial"/>
          <w:b/>
          <w:bCs/>
          <w:color w:val="C13A18"/>
          <w:sz w:val="18"/>
          <w:szCs w:val="18"/>
        </w:rPr>
        <w:t xml:space="preserve">QUESTION US-052</w:t>
      </w:r>
    </w:p>
    <w:p>
      <w:pPr>
        <w:spacing w:after="140"/>
      </w:pPr>
      <w:r>
        <w:rPr>
          <w:rFonts w:ascii="Arial" w:cs="Arial" w:eastAsia="Arial" w:hAnsi="Arial"/>
          <w:i/>
          <w:iCs/>
          <w:color w:val="16243E"/>
          <w:sz w:val="22"/>
          <w:szCs w:val="22"/>
        </w:rPr>
        <w:t xml:space="preserve">An appraiser values a specialized property, like a church, that rarely sells and doesn't generate rental income, by estimating land value plus the depreciated cost to reconstruct the improvements.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describes the cost approach to value, often useful for unique or special-purpose properties lacking sufficient comparable sales or income data</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describes the income approach</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describes the sales comparison approach</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method can never be used for any property type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describes the cost approach: estimating land value separately, then adding the depreciated reconstruction cost of improvements, which is particularly useful when comparables and income data are limited.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income approach relies on income generation, which is not present or relevant for a property like this that doesn't generate rental income.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sales comparison approach relies on comparable sales data, which is often scarce for unique special-purpose properties like this.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cost approach is a widely recognized and used valuation method, particularly suited to situations like this one.</w:t>
      </w:r>
    </w:p>
    <w:p>
      <w:pPr>
        <w:spacing w:after="60" w:before="260"/>
      </w:pPr>
      <w:r>
        <w:rPr>
          <w:rFonts w:ascii="Arial" w:cs="Arial" w:eastAsia="Arial" w:hAnsi="Arial"/>
          <w:b/>
          <w:bCs/>
          <w:color w:val="C13A18"/>
          <w:sz w:val="18"/>
          <w:szCs w:val="18"/>
        </w:rPr>
        <w:t xml:space="preserve">QUESTION US-053</w:t>
      </w:r>
    </w:p>
    <w:p>
      <w:pPr>
        <w:spacing w:after="140"/>
      </w:pPr>
      <w:r>
        <w:rPr>
          <w:rFonts w:ascii="Arial" w:cs="Arial" w:eastAsia="Arial" w:hAnsi="Arial"/>
          <w:i/>
          <w:iCs/>
          <w:color w:val="16243E"/>
          <w:sz w:val="22"/>
          <w:szCs w:val="22"/>
        </w:rPr>
        <w:t xml:space="preserve">An appraiser is valuing a small apartment building based primarily on its net operating income and an appropriate capitalization rate.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describes the sales comparison approach</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describes a method not used in professional appraisal practice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describes the cost approach</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This describes the income approach to value, commonly used for income-producing properties like apartment buildings</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The sales comparison approach centers on comparable sales data, not income and capitalization analysis.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The income approach is one of the three widely recognized and professionally used traditional appraisal methods.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The cost approach focuses on reconstruction cost and depreciation, not income and capitalization.</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the standard description of the income approach, which is particularly well-suited to income-generating properties like apartment buildings.</w:t>
      </w:r>
    </w:p>
    <w:p>
      <w:pPr>
        <w:spacing w:after="60" w:before="260"/>
      </w:pPr>
      <w:r>
        <w:rPr>
          <w:rFonts w:ascii="Arial" w:cs="Arial" w:eastAsia="Arial" w:hAnsi="Arial"/>
          <w:b/>
          <w:bCs/>
          <w:color w:val="C13A18"/>
          <w:sz w:val="18"/>
          <w:szCs w:val="18"/>
        </w:rPr>
        <w:t xml:space="preserve">QUESTION US-054</w:t>
      </w:r>
    </w:p>
    <w:p>
      <w:pPr>
        <w:spacing w:after="140"/>
      </w:pPr>
      <w:r>
        <w:rPr>
          <w:rFonts w:ascii="Arial" w:cs="Arial" w:eastAsia="Arial" w:hAnsi="Arial"/>
          <w:i/>
          <w:iCs/>
          <w:color w:val="16243E"/>
          <w:sz w:val="22"/>
          <w:szCs w:val="22"/>
        </w:rPr>
        <w:t xml:space="preserve">An appraiser makes an upward adjustment to a comparable sale's price because the comparable property lacks a garage that the subject property has.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Adjustments are only made for differences in square footage, never for individual features like a garage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In the sales comparison approach, adjustments are generally made to the comparable properties to make them more similar to the subject, so a feature the comparable lacks that the subject has typically results in an upward adjustment to the comparable's price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Adjustments are always made to the subject property's value, never to the comparable's price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adjustment process is not part of standard appraisal practice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Appraisers commonly adjust for a range of feature differences beyond square footage, including things like garages, so this understates the adjustment process.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reflects the standard logic: if the comparable lacks a feature the subject has, the comparable's price is adjusted upward to reflect what it likely would have sold for with that feature, making it more comparable to the subject.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Standard appraisal practice adjusts the comparable properties toward the subject property, not the other way around.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adjustment methodology is a fundamental, standard part of the sales comparison approach in professional appraisal practice.</w:t>
      </w:r>
    </w:p>
    <w:p>
      <w:pPr>
        <w:spacing w:after="60" w:before="260"/>
      </w:pPr>
      <w:r>
        <w:rPr>
          <w:rFonts w:ascii="Arial" w:cs="Arial" w:eastAsia="Arial" w:hAnsi="Arial"/>
          <w:b/>
          <w:bCs/>
          <w:color w:val="C13A18"/>
          <w:sz w:val="18"/>
          <w:szCs w:val="18"/>
        </w:rPr>
        <w:t xml:space="preserve">QUESTION US-055</w:t>
      </w:r>
    </w:p>
    <w:p>
      <w:pPr>
        <w:spacing w:after="140"/>
      </w:pPr>
      <w:r>
        <w:rPr>
          <w:rFonts w:ascii="Arial" w:cs="Arial" w:eastAsia="Arial" w:hAnsi="Arial"/>
          <w:i/>
          <w:iCs/>
          <w:color w:val="16243E"/>
          <w:sz w:val="22"/>
          <w:szCs w:val="22"/>
        </w:rPr>
        <w:t xml:space="preserve">A licensee wants to know the general difference between 'market value' and 'market price' as used in appraisal and real estate practice.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Market value applies only to commercial property, and market price applies only to residential property</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Market value is a theoretical, well-supported opinion of the most probable price a property should bring under typical market conditions, while market price is the actual price a property sold for, which can be influenced by unique circumstances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Market value and market price are always exactly the same number in every transaction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Neither concept is relevant to a professional appraisal</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Both concepts are relevant and applicable across residential and commercial property alike, not divided along that line.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the standard distinction taught in appraisal theory: market value is a professional estimate of probable price under normal conditions, while market price is simply what a property actually sold for, potentially reflecting atypical circumstances.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While they can align, unique buyer/seller circumstances, like urgency or lack of market exposure, can cause the actual market price to diverge from a theoretical market value estimate.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Market value is, in fact, the central concept most professional appraisals are specifically trying to estimate.</w:t>
      </w:r>
    </w:p>
    <w:p>
      <w:pPr>
        <w:spacing w:after="60" w:before="260"/>
      </w:pPr>
      <w:r>
        <w:rPr>
          <w:rFonts w:ascii="Arial" w:cs="Arial" w:eastAsia="Arial" w:hAnsi="Arial"/>
          <w:b/>
          <w:bCs/>
          <w:color w:val="C13A18"/>
          <w:sz w:val="18"/>
          <w:szCs w:val="18"/>
        </w:rPr>
        <w:t xml:space="preserve">QUESTION US-056</w:t>
      </w:r>
    </w:p>
    <w:p>
      <w:pPr>
        <w:spacing w:after="140"/>
      </w:pPr>
      <w:r>
        <w:rPr>
          <w:rFonts w:ascii="Arial" w:cs="Arial" w:eastAsia="Arial" w:hAnsi="Arial"/>
          <w:i/>
          <w:iCs/>
          <w:color w:val="16243E"/>
          <w:sz w:val="22"/>
          <w:szCs w:val="22"/>
        </w:rPr>
        <w:t xml:space="preserve">An appraiser deducts value from a property because its outdated kitchen no longer meets buyer expectations, even though the kitchen still functions.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Depreciation only applies to a property's structural, load-bearing components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describes physical deterioration only, never functional obsolescence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can reflect functional obsolescence, a form of depreciation caused by outdated design or features relative to current market expectations, distinct from pure physical wear and tear</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describes external/economic obsolescence, caused by factors entirely outside the property's boundaries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Depreciation concepts in appraisal apply broadly across a property's components and features, not solely to structural elements.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Physical deterioration refers specifically to wear and tear on physical components, not to outdated design or style that still functions.</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Functional obsolescence reflects a loss in value due to outdated design, layout, or features relative to current buyer expectations, even when the item still works, which fits this outdated kitchen example.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External/economic obsolescence stems from factors outside the property itself, like a nearby negative land use change, not an interior feature like an outdated kitchen.</w:t>
      </w:r>
    </w:p>
    <w:p>
      <w:pPr>
        <w:spacing w:after="60" w:before="260"/>
      </w:pPr>
      <w:r>
        <w:rPr>
          <w:rFonts w:ascii="Arial" w:cs="Arial" w:eastAsia="Arial" w:hAnsi="Arial"/>
          <w:b/>
          <w:bCs/>
          <w:color w:val="C13A18"/>
          <w:sz w:val="18"/>
          <w:szCs w:val="18"/>
        </w:rPr>
        <w:t xml:space="preserve">QUESTION US-057</w:t>
      </w:r>
    </w:p>
    <w:p>
      <w:pPr>
        <w:spacing w:after="140"/>
      </w:pPr>
      <w:r>
        <w:rPr>
          <w:rFonts w:ascii="Arial" w:cs="Arial" w:eastAsia="Arial" w:hAnsi="Arial"/>
          <w:i/>
          <w:iCs/>
          <w:color w:val="16243E"/>
          <w:sz w:val="22"/>
          <w:szCs w:val="22"/>
        </w:rPr>
        <w:t xml:space="preserve">An appraiser reduces a home's value estimate because a new industrial facility was built next door, generating significant noise and traffic that negatively affects desirability, despite no changes to the home itself.</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reflects physical deterioration of the subject property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reflects functional obsolescence tied to the home's own outdated design</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reflects external (economic) obsolescence, a loss in value caused by negative influences outside the property's own boundaries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scenario has no valid appraisal explanation</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Physical deterioration concerns wear and tear to the subject property itself, not the impact of external factors like a neighboring industrial use.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Functional obsolescence relates to the property's own outdated design or features, not to unrelated external neighboring development.</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External or economic obsolescence specifically captures value loss from factors outside the property, like negative neighboring land uses, consistent with this new industrial facility example.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is a well-recognized appraisal concept describing exactly this kind of externally caused value impact.</w:t>
      </w:r>
    </w:p>
    <w:p>
      <w:pPr>
        <w:spacing w:after="60" w:before="260"/>
      </w:pPr>
      <w:r>
        <w:rPr>
          <w:rFonts w:ascii="Arial" w:cs="Arial" w:eastAsia="Arial" w:hAnsi="Arial"/>
          <w:b/>
          <w:bCs/>
          <w:color w:val="C13A18"/>
          <w:sz w:val="18"/>
          <w:szCs w:val="18"/>
        </w:rPr>
        <w:t xml:space="preserve">QUESTION US-058</w:t>
      </w:r>
    </w:p>
    <w:p>
      <w:pPr>
        <w:spacing w:after="140"/>
      </w:pPr>
      <w:r>
        <w:rPr>
          <w:rFonts w:ascii="Arial" w:cs="Arial" w:eastAsia="Arial" w:hAnsi="Arial"/>
          <w:i/>
          <w:iCs/>
          <w:color w:val="16243E"/>
          <w:sz w:val="22"/>
          <w:szCs w:val="22"/>
        </w:rPr>
        <w:t xml:space="preserve">A licensee wants to know the principle of 'highest and best use' as applied in appraisal.</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Highest and best use means the most expensive possible use of a property regardless of legality or feasibility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Highest and best use is determined solely by the current zoning classification with no other factors considered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Highest and best use only applies to vacant, undeveloped land, never improved property</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Highest and best use refers to the reasonably probable and legal use of a property that is physically possible, appropriately supported, financially feasible, and results in the highest value</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Highest and best use must be legally permissible and feasible; simply being the 'most expensive' theoretical use without meeting those criteria does not qualify.</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While zoning is an important factor in legal permissibility, other factors like physical possibility, market demand, and financial feasibility are also part of the full analysis.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Highest and best use analysis applies to both vacant land and improved properties, evaluating whether the current improvement still represents the optimal use.</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the standard four-part test used in appraisal: the use must be legally permissible, physically possible, financially feasible, and maximally productive, i.e., resulting in the highest value.</w:t>
      </w:r>
    </w:p>
    <w:p>
      <w:r>
        <w:br w:type="page"/>
      </w:r>
    </w:p>
    <w:p>
      <w:pPr>
        <w:pStyle w:val="Heading1"/>
        <w:spacing w:after="60" w:before="200"/>
      </w:pPr>
      <w:r>
        <w:rPr>
          <w:rFonts w:ascii="Arial" w:cs="Arial" w:eastAsia="Arial" w:hAnsi="Arial"/>
          <w:color w:val="16243E"/>
        </w:rPr>
        <w:t xml:space="preserve">National: Property Management &amp; Leasing</w:t>
      </w:r>
    </w:p>
    <w:p>
      <w:pPr>
        <w:pBdr>
          <w:bottom w:val="single" w:color="E5431F" w:sz="8" w:space="4"/>
        </w:pBdr>
        <w:spacing w:after="300"/>
      </w:pPr>
      <w:r>
        <w:rPr>
          <w:rFonts w:ascii="Arial" w:cs="Arial" w:eastAsia="Arial" w:hAnsi="Arial"/>
          <w:i/>
          <w:iCs/>
          <w:color w:val="677081"/>
          <w:sz w:val="18"/>
          <w:szCs w:val="18"/>
        </w:rPr>
        <w:t xml:space="preserve">7 questions in this section</w:t>
      </w:r>
    </w:p>
    <w:p>
      <w:pPr>
        <w:spacing w:after="60" w:before="260"/>
      </w:pPr>
      <w:r>
        <w:rPr>
          <w:rFonts w:ascii="Arial" w:cs="Arial" w:eastAsia="Arial" w:hAnsi="Arial"/>
          <w:b/>
          <w:bCs/>
          <w:color w:val="C13A18"/>
          <w:sz w:val="18"/>
          <w:szCs w:val="18"/>
        </w:rPr>
        <w:t xml:space="preserve">QUESTION US-059</w:t>
      </w:r>
    </w:p>
    <w:p>
      <w:pPr>
        <w:spacing w:after="140"/>
      </w:pPr>
      <w:r>
        <w:rPr>
          <w:rFonts w:ascii="Arial" w:cs="Arial" w:eastAsia="Arial" w:hAnsi="Arial"/>
          <w:i/>
          <w:iCs/>
          <w:color w:val="16243E"/>
          <w:sz w:val="22"/>
          <w:szCs w:val="22"/>
        </w:rPr>
        <w:t xml:space="preserve">A tenant signs a lease for a fixed one-year term with a specific start and end date clearly stated in the agreement.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This describes a periodic tenancy (such as month-to-month)</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describes a tenancy at sufferance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This describes an estate for years (a tenancy with a definite, agreed-upon start and end date)</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describes a tenancy at will</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A periodic tenancy renews automatically at set intervals without a fixed end date, unlike this lease's defined start and end dates.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A tenancy at sufferance arises when a tenant remains in possession without the landlord's consent after their right to possession has ended, which is not what's described here.</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An estate for years (or 'tenancy for years') is defined by having a specific, agreed-upon start and end date, regardless of the exact length of the term, which matches this fixed one-year lease.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tenancy at will has no fixed term and can generally be terminated by either party with proper notice, unlike this defined one-year term.</w:t>
      </w:r>
    </w:p>
    <w:p>
      <w:pPr>
        <w:spacing w:after="60" w:before="260"/>
      </w:pPr>
      <w:r>
        <w:rPr>
          <w:rFonts w:ascii="Arial" w:cs="Arial" w:eastAsia="Arial" w:hAnsi="Arial"/>
          <w:b/>
          <w:bCs/>
          <w:color w:val="C13A18"/>
          <w:sz w:val="18"/>
          <w:szCs w:val="18"/>
        </w:rPr>
        <w:t xml:space="preserve">QUESTION US-060</w:t>
      </w:r>
    </w:p>
    <w:p>
      <w:pPr>
        <w:spacing w:after="140"/>
      </w:pPr>
      <w:r>
        <w:rPr>
          <w:rFonts w:ascii="Arial" w:cs="Arial" w:eastAsia="Arial" w:hAnsi="Arial"/>
          <w:i/>
          <w:iCs/>
          <w:color w:val="16243E"/>
          <w:sz w:val="22"/>
          <w:szCs w:val="22"/>
        </w:rPr>
        <w:t xml:space="preserve">A tenant's lease has expired, but the tenant continues paying rent and the landlord continues accepting it without a new signed lease, and both sides continue this arrangement indefinitely.</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likely describes a periodic tenancy that has arisen by the landlord's acceptance of rent after the original lease term ended</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arrangement is legally impossible and must be immediately resolved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describes an estate for years continuing unchanged</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describes a tenancy at sufferance, since the landlord is accepting rent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When a landlord accepts rent after a lease's fixed term ends, this commonly converts the arrangement into a periodic tenancy, often month-to-month, governed by applicable law.</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kind of continuing arrangement, resulting in an implied periodic tenancy, is a legally recognized situation, not an impossibility requiring immediate resolution.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An estate for years has a fixed end date; continuing to pay and accept rent after that date changes the nature of the tenancy.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Tenancy at sufferance describes possession without consent; ongoing acceptance of rent by the landlord generally indicates consent, moving the situation beyond mere sufferance.</w:t>
      </w:r>
    </w:p>
    <w:p>
      <w:pPr>
        <w:spacing w:after="60" w:before="260"/>
      </w:pPr>
      <w:r>
        <w:rPr>
          <w:rFonts w:ascii="Arial" w:cs="Arial" w:eastAsia="Arial" w:hAnsi="Arial"/>
          <w:b/>
          <w:bCs/>
          <w:color w:val="C13A18"/>
          <w:sz w:val="18"/>
          <w:szCs w:val="18"/>
        </w:rPr>
        <w:t xml:space="preserve">QUESTION US-061</w:t>
      </w:r>
    </w:p>
    <w:p>
      <w:pPr>
        <w:spacing w:after="140"/>
      </w:pPr>
      <w:r>
        <w:rPr>
          <w:rFonts w:ascii="Arial" w:cs="Arial" w:eastAsia="Arial" w:hAnsi="Arial"/>
          <w:i/>
          <w:iCs/>
          <w:color w:val="16243E"/>
          <w:sz w:val="22"/>
          <w:szCs w:val="22"/>
        </w:rPr>
        <w:t xml:space="preserve">A commercial lease requires the tenant to pay a base rent plus their proportional share of property taxes, insurance, and common area maintenance costs.</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This describes a net lease (or a variation like a triple net lease), where the tenant pays some or all of these additional operating costs beyond base rent</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This type of lease structure does not exist in commercial real estate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This describes a gross lease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describes a percentage lease exclusively, with no other possible structure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describes a net lease structure, where the tenant contributes to these additional operating costs beyond the base rent, with a triple net lease being a common example including taxes, insurance, and maintenance.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Net lease structures, including triple net leases, are extremely common and well-established in commercial real estate.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In a gross lease, the landlord, not the tenant, typically covers property taxes, insurance, and maintenance costs out of the rent collected.</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A percentage lease specifically ties rent to a percentage of the tenant's sales, which is a different, distinct lease structure from what's described here.</w:t>
      </w:r>
    </w:p>
    <w:p>
      <w:pPr>
        <w:spacing w:after="60" w:before="260"/>
      </w:pPr>
      <w:r>
        <w:rPr>
          <w:rFonts w:ascii="Arial" w:cs="Arial" w:eastAsia="Arial" w:hAnsi="Arial"/>
          <w:b/>
          <w:bCs/>
          <w:color w:val="C13A18"/>
          <w:sz w:val="18"/>
          <w:szCs w:val="18"/>
        </w:rPr>
        <w:t xml:space="preserve">QUESTION US-062</w:t>
      </w:r>
    </w:p>
    <w:p>
      <w:pPr>
        <w:spacing w:after="140"/>
      </w:pPr>
      <w:r>
        <w:rPr>
          <w:rFonts w:ascii="Arial" w:cs="Arial" w:eastAsia="Arial" w:hAnsi="Arial"/>
          <w:i/>
          <w:iCs/>
          <w:color w:val="16243E"/>
          <w:sz w:val="22"/>
          <w:szCs w:val="22"/>
        </w:rPr>
        <w:t xml:space="preserve">A landlord fails to maintain a rental unit in a habitable condition despite repeated tenant requests to fix a serious issue like no working heat in winter.</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The tenant has no legal recourse and must simply continue living with the condition</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Depending on the jurisdiction, the tenant may have remedies such as repair-and-deduct, rent withholding, or lease termination under the implied warranty of habitability, subject to proper notice and legal procedures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The landlord automatically loses ownership of the property in this situation</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This situation has no connection to any recognized legal doctrine</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Tenants are not without recourse in this situation; various legal remedies commonly exist to address habitability failures.</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The implied warranty of habitability, recognized in many jurisdictions, can provide tenants with specific remedies for serious habitability failures, though the tenant generally must follow proper notice and procedural steps.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Habitability violations do not result in an automatic forfeiture of the landlord's ownership interest in the property.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 implied warranty of habitability is a well-recognized legal doctrine directly relevant to this exact kind of situation.</w:t>
      </w:r>
    </w:p>
    <w:p>
      <w:pPr>
        <w:spacing w:after="60" w:before="260"/>
      </w:pPr>
      <w:r>
        <w:rPr>
          <w:rFonts w:ascii="Arial" w:cs="Arial" w:eastAsia="Arial" w:hAnsi="Arial"/>
          <w:b/>
          <w:bCs/>
          <w:color w:val="C13A18"/>
          <w:sz w:val="18"/>
          <w:szCs w:val="18"/>
        </w:rPr>
        <w:t xml:space="preserve">QUESTION US-063</w:t>
      </w:r>
    </w:p>
    <w:p>
      <w:pPr>
        <w:spacing w:after="140"/>
      </w:pPr>
      <w:r>
        <w:rPr>
          <w:rFonts w:ascii="Arial" w:cs="Arial" w:eastAsia="Arial" w:hAnsi="Arial"/>
          <w:i/>
          <w:iCs/>
          <w:color w:val="16243E"/>
          <w:sz w:val="22"/>
          <w:szCs w:val="22"/>
        </w:rPr>
        <w:t xml:space="preserve">A property manager collects a security deposit from a new tenant and wants to know the general purpose of that deposit.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 security deposit is simply additional profit for the landlord with no restrictions on its use</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A security deposit can be used by the landlord to pay for any personal expense unrelated to the tenancy</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Security deposits are prohibited in residential leasing nationwide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A security deposit is generally intended to protect the landlord against certain tenant defaults, such as unpaid rent or damage beyond normal wear and tear, and is typically subject to specific legal requirements regarding handling and return</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Security deposits are not unrestricted landlord profit; their use is typically legally constrained to specific tenant-caused issues.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Using a security deposit for unrelated personal landlord expenses would generally violate the legal purpose and restrictions placed on such deposits.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Security deposits are a widely used and legally recognized practice in residential leasing across the country, not a prohibited practice.</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describes the standard purpose and legal framework for security deposits: protecting against legitimate tenant-related losses, with requirements often governing how deposits must be held, itemized, and returned.</w:t>
      </w:r>
    </w:p>
    <w:p>
      <w:pPr>
        <w:spacing w:after="60" w:before="260"/>
      </w:pPr>
      <w:r>
        <w:rPr>
          <w:rFonts w:ascii="Arial" w:cs="Arial" w:eastAsia="Arial" w:hAnsi="Arial"/>
          <w:b/>
          <w:bCs/>
          <w:color w:val="C13A18"/>
          <w:sz w:val="18"/>
          <w:szCs w:val="18"/>
        </w:rPr>
        <w:t xml:space="preserve">QUESTION US-064</w:t>
      </w:r>
    </w:p>
    <w:p>
      <w:pPr>
        <w:spacing w:after="140"/>
      </w:pPr>
      <w:r>
        <w:rPr>
          <w:rFonts w:ascii="Arial" w:cs="Arial" w:eastAsia="Arial" w:hAnsi="Arial"/>
          <w:i/>
          <w:iCs/>
          <w:color w:val="16243E"/>
          <w:sz w:val="22"/>
          <w:szCs w:val="22"/>
        </w:rPr>
        <w:t xml:space="preserve">A tenant wants to sublease their apartment to another person for the remainder of the lease term while the original tenant remains responsible under the original lease.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Subleasing is illegal in all residential leases nationwide</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A sublease generally allows a new occupant to take possession while the original tenant typically remains liable under the original lease, unless the landlord agrees to a full lease assignment with release, or the lease otherwise provides for this</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A sublease automatically transfers full ownership of the property to the subtenant</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Subleasing always automatically releases the original tenant from all further obligations</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Subleasing, when permitted by the lease and applicable law, is a common and legal practice, not something illegal nationwide.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describes the typical distinction between a sublease and an assignment: subleasing generally keeps the original tenant on the hook, whereas an assignment with landlord consent might release the original tenant, depending on the lease terms.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A sublease involves a leasehold interest in possession, not a transfer of the underlying fee ownership of the property.</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In a standard sublease, the original tenant generally remains bound by their obligations under the original lease unless there's a separate agreement releasing them.</w:t>
      </w:r>
    </w:p>
    <w:p>
      <w:pPr>
        <w:spacing w:after="60" w:before="260"/>
      </w:pPr>
      <w:r>
        <w:rPr>
          <w:rFonts w:ascii="Arial" w:cs="Arial" w:eastAsia="Arial" w:hAnsi="Arial"/>
          <w:b/>
          <w:bCs/>
          <w:color w:val="C13A18"/>
          <w:sz w:val="18"/>
          <w:szCs w:val="18"/>
        </w:rPr>
        <w:t xml:space="preserve">QUESTION US-065</w:t>
      </w:r>
    </w:p>
    <w:p>
      <w:pPr>
        <w:spacing w:after="140"/>
      </w:pPr>
      <w:r>
        <w:rPr>
          <w:rFonts w:ascii="Arial" w:cs="Arial" w:eastAsia="Arial" w:hAnsi="Arial"/>
          <w:i/>
          <w:iCs/>
          <w:color w:val="16243E"/>
          <w:sz w:val="22"/>
          <w:szCs w:val="22"/>
        </w:rPr>
        <w:t xml:space="preserve">A licensee wants to know the general difference between an assignment and a sublease when a tenant transfers their leasehold interest to someone else.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An assignment can only be used for commercial leases, and a sublease can only be used for residential leases</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Neither an assignment nor a sublease requires any consideration of the original lease's terms</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In an assignment, the tenant typically transfers their entire remaining leasehold interest to the new party, while in a sublease, the original tenant typically retains some reversionary interest and remains involved for at least part of the remaining term</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An assignment and a sublease are legally identical in every respect</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Both assignment and sublease concepts can apply to residential or commercial leases, depending on what the specific lease allows.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Whether either transfer is even permitted, and under what conditions, typically depends directly on the terms of the original lease, making this option inaccurate.</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the standard distinction: an assignment transfers the entire remaining interest to a new party, while a sublease involves the original tenant retaining some interest and typically remaining involved, often still liable, for some portion of the term.</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These are distinct legal concepts with different implications for the original tenant's ongoing role and interest, so they are not identical.</w:t>
      </w:r>
    </w:p>
    <w:p>
      <w:r>
        <w:br w:type="page"/>
      </w:r>
    </w:p>
    <w:p>
      <w:pPr>
        <w:pStyle w:val="Heading1"/>
        <w:spacing w:after="60" w:before="200"/>
      </w:pPr>
      <w:r>
        <w:rPr>
          <w:rFonts w:ascii="Arial" w:cs="Arial" w:eastAsia="Arial" w:hAnsi="Arial"/>
          <w:color w:val="16243E"/>
        </w:rPr>
        <w:t xml:space="preserve">National: Real Estate Math</w:t>
      </w:r>
    </w:p>
    <w:p>
      <w:pPr>
        <w:pBdr>
          <w:bottom w:val="single" w:color="E5431F" w:sz="8" w:space="4"/>
        </w:pBdr>
        <w:spacing w:after="300"/>
      </w:pPr>
      <w:r>
        <w:rPr>
          <w:rFonts w:ascii="Arial" w:cs="Arial" w:eastAsia="Arial" w:hAnsi="Arial"/>
          <w:i/>
          <w:iCs/>
          <w:color w:val="677081"/>
          <w:sz w:val="18"/>
          <w:szCs w:val="18"/>
        </w:rPr>
        <w:t xml:space="preserve">35 questions in this section</w:t>
      </w:r>
    </w:p>
    <w:p>
      <w:pPr>
        <w:spacing w:after="60" w:before="260"/>
      </w:pPr>
      <w:r>
        <w:rPr>
          <w:rFonts w:ascii="Arial" w:cs="Arial" w:eastAsia="Arial" w:hAnsi="Arial"/>
          <w:b/>
          <w:bCs/>
          <w:color w:val="C13A18"/>
          <w:sz w:val="18"/>
          <w:szCs w:val="18"/>
        </w:rPr>
        <w:t xml:space="preserve">QUESTION US-066</w:t>
      </w:r>
    </w:p>
    <w:p>
      <w:pPr>
        <w:spacing w:after="140"/>
      </w:pPr>
      <w:r>
        <w:rPr>
          <w:rFonts w:ascii="Arial" w:cs="Arial" w:eastAsia="Arial" w:hAnsi="Arial"/>
          <w:i/>
          <w:iCs/>
          <w:color w:val="16243E"/>
          <w:sz w:val="22"/>
          <w:szCs w:val="22"/>
        </w:rPr>
        <w:t xml:space="preserve">A property sells for $240,000. The jurisdiction's real estate transfer tax is $1.50 per $500 of the sale price (or fraction thereof). A licensee wants to calculate the transfer tax due.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$1,440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$480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$720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$360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doubles the correct tax amount and does not match applying the stated $1.50 per $500 rate.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is the number of $500 units in the sale price, before applying the $1.50 tax rate — not the final tax amount.</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correct: $240,000 ÷ $500 = 480 units; 480 × $1.50 = $720.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reflects applying roughly half the stated rate rather than the full $1.50 per $500.</w:t>
      </w:r>
    </w:p>
    <w:p>
      <w:pPr>
        <w:spacing w:after="60" w:before="260"/>
      </w:pPr>
      <w:r>
        <w:rPr>
          <w:rFonts w:ascii="Arial" w:cs="Arial" w:eastAsia="Arial" w:hAnsi="Arial"/>
          <w:b/>
          <w:bCs/>
          <w:color w:val="C13A18"/>
          <w:sz w:val="18"/>
          <w:szCs w:val="18"/>
        </w:rPr>
        <w:t xml:space="preserve">QUESTION US-067</w:t>
      </w:r>
    </w:p>
    <w:p>
      <w:pPr>
        <w:spacing w:after="140"/>
      </w:pPr>
      <w:r>
        <w:rPr>
          <w:rFonts w:ascii="Arial" w:cs="Arial" w:eastAsia="Arial" w:hAnsi="Arial"/>
          <w:i/>
          <w:iCs/>
          <w:color w:val="16243E"/>
          <w:sz w:val="22"/>
          <w:szCs w:val="22"/>
        </w:rPr>
        <w:t xml:space="preserve">A home sells for $325,000. The applicable transfer tax rate is $2.00 per $1,000 of the sale price. A licensee wants to calculate the total transfer tax owed.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$162.50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$975</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$325</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$650</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incorrectly divides the correct total by 4, which is not a valid step in this calculation.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results from applying a $3.00 rate instead of the stated $2.00 rate.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is simply the number of $1,000 units in the sale price, without applying the $2.00 rate.</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$325,000 ÷ $1,000 = 325 units; 325 × $2.00 = $650.</w:t>
      </w:r>
    </w:p>
    <w:p>
      <w:pPr>
        <w:spacing w:after="60" w:before="260"/>
      </w:pPr>
      <w:r>
        <w:rPr>
          <w:rFonts w:ascii="Arial" w:cs="Arial" w:eastAsia="Arial" w:hAnsi="Arial"/>
          <w:b/>
          <w:bCs/>
          <w:color w:val="C13A18"/>
          <w:sz w:val="18"/>
          <w:szCs w:val="18"/>
        </w:rPr>
        <w:t xml:space="preserve">QUESTION US-068</w:t>
      </w:r>
    </w:p>
    <w:p>
      <w:pPr>
        <w:spacing w:after="140"/>
      </w:pPr>
      <w:r>
        <w:rPr>
          <w:rFonts w:ascii="Arial" w:cs="Arial" w:eastAsia="Arial" w:hAnsi="Arial"/>
          <w:i/>
          <w:iCs/>
          <w:color w:val="16243E"/>
          <w:sz w:val="22"/>
          <w:szCs w:val="22"/>
        </w:rPr>
        <w:t xml:space="preserve">A property sells for $410,000. The transfer tax rate is $0.50 per $500 of the sale price. A licensee wants to determine the transfer tax due at closing.</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$410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$1,640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$205</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$820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$410,000 ÷ $500 = 820 units; 820 × $0.50 = $410.</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is four times the correct amount, as if a $2.00 rate had been used instead of the stated $0.50.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is half the correct amount, as if a $0.25 rate had been used instead of the stated $0.50.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is the number of $500 units in the sale price, before the $0.50 rate is applied — not the final tax figure.</w:t>
      </w:r>
    </w:p>
    <w:p>
      <w:pPr>
        <w:spacing w:after="60" w:before="260"/>
      </w:pPr>
      <w:r>
        <w:rPr>
          <w:rFonts w:ascii="Arial" w:cs="Arial" w:eastAsia="Arial" w:hAnsi="Arial"/>
          <w:b/>
          <w:bCs/>
          <w:color w:val="C13A18"/>
          <w:sz w:val="18"/>
          <w:szCs w:val="18"/>
        </w:rPr>
        <w:t xml:space="preserve">QUESTION US-069</w:t>
      </w:r>
    </w:p>
    <w:p>
      <w:pPr>
        <w:spacing w:after="140"/>
      </w:pPr>
      <w:r>
        <w:rPr>
          <w:rFonts w:ascii="Arial" w:cs="Arial" w:eastAsia="Arial" w:hAnsi="Arial"/>
          <w:i/>
          <w:iCs/>
          <w:color w:val="16243E"/>
          <w:sz w:val="22"/>
          <w:szCs w:val="22"/>
        </w:rPr>
        <w:t xml:space="preserve">A home sells for $150,000, and the transfer tax rate is $1.00 per $500 of the sale price. A licensee wants to calculate the total tax.</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$1,500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$75</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$300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$150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appears to misapply a much higher rate than the $1.00 per $500 actually stated.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incorrectly divides the correct answer by 4, which is not part of the proper calculation.</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correct: $150,000 ÷ $500 = 300 units; 300 × $1.00 = $300.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results from applying the rate per $1,000 rather than the correct per-$500 basis stated in the problem.</w:t>
      </w:r>
    </w:p>
    <w:p>
      <w:pPr>
        <w:spacing w:after="60" w:before="260"/>
      </w:pPr>
      <w:r>
        <w:rPr>
          <w:rFonts w:ascii="Arial" w:cs="Arial" w:eastAsia="Arial" w:hAnsi="Arial"/>
          <w:b/>
          <w:bCs/>
          <w:color w:val="C13A18"/>
          <w:sz w:val="18"/>
          <w:szCs w:val="18"/>
        </w:rPr>
        <w:t xml:space="preserve">QUESTION US-070</w:t>
      </w:r>
    </w:p>
    <w:p>
      <w:pPr>
        <w:spacing w:after="140"/>
      </w:pPr>
      <w:r>
        <w:rPr>
          <w:rFonts w:ascii="Arial" w:cs="Arial" w:eastAsia="Arial" w:hAnsi="Arial"/>
          <w:i/>
          <w:iCs/>
          <w:color w:val="16243E"/>
          <w:sz w:val="22"/>
          <w:szCs w:val="22"/>
        </w:rPr>
        <w:t xml:space="preserve">A property sells for $500,000, with a transfer tax rate of $2.50 per $1,000 of sale price. A licensee wants to calculate the tax owed.</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$1,250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$1,500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$2,500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$500,000 ÷ $1,000 = 500 units; 500 × $2.50 = $1,250.</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results from using a $3.00 rate instead of the stated $2.50 rate.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results from using a $2.00 rate instead of the stated $2.50 rate.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is double the correct amount and does not match the stated rate.</w:t>
      </w:r>
    </w:p>
    <w:p>
      <w:pPr>
        <w:spacing w:after="60" w:before="260"/>
      </w:pPr>
      <w:r>
        <w:rPr>
          <w:rFonts w:ascii="Arial" w:cs="Arial" w:eastAsia="Arial" w:hAnsi="Arial"/>
          <w:b/>
          <w:bCs/>
          <w:color w:val="C13A18"/>
          <w:sz w:val="18"/>
          <w:szCs w:val="18"/>
        </w:rPr>
        <w:t xml:space="preserve">QUESTION US-071</w:t>
      </w:r>
    </w:p>
    <w:p>
      <w:pPr>
        <w:spacing w:after="140"/>
      </w:pPr>
      <w:r>
        <w:rPr>
          <w:rFonts w:ascii="Arial" w:cs="Arial" w:eastAsia="Arial" w:hAnsi="Arial"/>
          <w:i/>
          <w:iCs/>
          <w:color w:val="16243E"/>
          <w:sz w:val="22"/>
          <w:szCs w:val="22"/>
        </w:rPr>
        <w:t xml:space="preserve">A buyer takes out a new loan of $200,000. The jurisdiction imposes an intangible tax on new mortgages of $1.50 per $500 of the loan amount. A licensee wants to calculate the intangible tax due.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$900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$1,200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$300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$600</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results from applying a $2.25 rate instead of the stated $1.50 rate.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is double the correct amount and does not match the stated rate.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is half the correct amount, as if a $0.75 rate had been applied instead of the stated $1.50.</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$200,000 ÷ $500 = 400 units; 400 × $1.50 = $600.</w:t>
      </w:r>
    </w:p>
    <w:p>
      <w:pPr>
        <w:spacing w:after="60" w:before="260"/>
      </w:pPr>
      <w:r>
        <w:rPr>
          <w:rFonts w:ascii="Arial" w:cs="Arial" w:eastAsia="Arial" w:hAnsi="Arial"/>
          <w:b/>
          <w:bCs/>
          <w:color w:val="C13A18"/>
          <w:sz w:val="18"/>
          <w:szCs w:val="18"/>
        </w:rPr>
        <w:t xml:space="preserve">QUESTION US-072</w:t>
      </w:r>
    </w:p>
    <w:p>
      <w:pPr>
        <w:spacing w:after="140"/>
      </w:pPr>
      <w:r>
        <w:rPr>
          <w:rFonts w:ascii="Arial" w:cs="Arial" w:eastAsia="Arial" w:hAnsi="Arial"/>
          <w:i/>
          <w:iCs/>
          <w:color w:val="16243E"/>
          <w:sz w:val="22"/>
          <w:szCs w:val="22"/>
        </w:rPr>
        <w:t xml:space="preserve">A borrower's new loan amount is $350,000, and the intangible tax rate is $2.00 per $1,000 of the loan amount. A licensee wants to calculate the tax due.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$175</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$700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$1,050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$350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incorrectly quarters the correct amount, which is not part of the proper calculation.</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$350,000 ÷ $1,000 = 350 units; 350 × $2.00 = $700.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results from applying a $3.00 rate instead of the stated $2.00 rate.</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is simply the number of $1,000 units in the loan amount, without applying the $2.00 rate.</w:t>
      </w:r>
    </w:p>
    <w:p>
      <w:pPr>
        <w:spacing w:after="60" w:before="260"/>
      </w:pPr>
      <w:r>
        <w:rPr>
          <w:rFonts w:ascii="Arial" w:cs="Arial" w:eastAsia="Arial" w:hAnsi="Arial"/>
          <w:b/>
          <w:bCs/>
          <w:color w:val="C13A18"/>
          <w:sz w:val="18"/>
          <w:szCs w:val="18"/>
        </w:rPr>
        <w:t xml:space="preserve">QUESTION US-073</w:t>
      </w:r>
    </w:p>
    <w:p>
      <w:pPr>
        <w:spacing w:after="140"/>
      </w:pPr>
      <w:r>
        <w:rPr>
          <w:rFonts w:ascii="Arial" w:cs="Arial" w:eastAsia="Arial" w:hAnsi="Arial"/>
          <w:i/>
          <w:iCs/>
          <w:color w:val="16243E"/>
          <w:sz w:val="22"/>
          <w:szCs w:val="22"/>
        </w:rPr>
        <w:t xml:space="preserve">A new mortgage loan totals $275,000, with an intangible tax rate of $1.50 per $500 of the loan amount. A licensee wants to calculate the total tax owed.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$1,650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$412.50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$550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$825</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is double the correct amount and does not match the stated rate.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is half the correct amount and does not reflect the proper calculation.</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is the number of $500 units in the loan amount, before the $1.50 rate is applied — not the final tax figure.</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$275,000 ÷ $500 = 550 units; 550 × $1.50 = $825.</w:t>
      </w:r>
    </w:p>
    <w:p>
      <w:pPr>
        <w:spacing w:after="60" w:before="260"/>
      </w:pPr>
      <w:r>
        <w:rPr>
          <w:rFonts w:ascii="Arial" w:cs="Arial" w:eastAsia="Arial" w:hAnsi="Arial"/>
          <w:b/>
          <w:bCs/>
          <w:color w:val="C13A18"/>
          <w:sz w:val="18"/>
          <w:szCs w:val="18"/>
        </w:rPr>
        <w:t xml:space="preserve">QUESTION US-074</w:t>
      </w:r>
    </w:p>
    <w:p>
      <w:pPr>
        <w:spacing w:after="140"/>
      </w:pPr>
      <w:r>
        <w:rPr>
          <w:rFonts w:ascii="Arial" w:cs="Arial" w:eastAsia="Arial" w:hAnsi="Arial"/>
          <w:i/>
          <w:iCs/>
          <w:color w:val="16243E"/>
          <w:sz w:val="22"/>
          <w:szCs w:val="22"/>
        </w:rPr>
        <w:t xml:space="preserve">A buyer's new loan is $180,000, and the intangible tax rate is $3.00 per $1,000 of the loan amount. A licensee wants to determine the tax owed.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$720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$180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$540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$360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results from applying a $4.00 rate instead of the stated $3.00 rate.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is simply the number of $1,000 units in the loan amount, without applying the $3.00 rate.</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correct: $180,000 ÷ $1,000 = 180 units; 180 × $3.00 = $540.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results from applying a $2.00 rate instead of the stated $3.00 rate.</w:t>
      </w:r>
    </w:p>
    <w:p>
      <w:pPr>
        <w:spacing w:after="60" w:before="260"/>
      </w:pPr>
      <w:r>
        <w:rPr>
          <w:rFonts w:ascii="Arial" w:cs="Arial" w:eastAsia="Arial" w:hAnsi="Arial"/>
          <w:b/>
          <w:bCs/>
          <w:color w:val="C13A18"/>
          <w:sz w:val="18"/>
          <w:szCs w:val="18"/>
        </w:rPr>
        <w:t xml:space="preserve">QUESTION US-075</w:t>
      </w:r>
    </w:p>
    <w:p>
      <w:pPr>
        <w:spacing w:after="140"/>
      </w:pPr>
      <w:r>
        <w:rPr>
          <w:rFonts w:ascii="Arial" w:cs="Arial" w:eastAsia="Arial" w:hAnsi="Arial"/>
          <w:i/>
          <w:iCs/>
          <w:color w:val="16243E"/>
          <w:sz w:val="22"/>
          <w:szCs w:val="22"/>
        </w:rPr>
        <w:t xml:space="preserve">A new loan amount is $420,000, and the intangible tax rate is $1.50 per $500 of the loan amount. A licensee wants to calculate the intangible tax due.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$840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$2,520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$630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$1,260</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is the number of $500 units in the loan amount, before the $1.50 rate is applied — not the final tax figure.</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doubles the correct amount and does not match the stated rate.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is half the correct amount and does not reflect the proper calculation.</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$420,000 ÷ $500 = 840 units; 840 × $1.50 = $1,260.</w:t>
      </w:r>
    </w:p>
    <w:p>
      <w:pPr>
        <w:spacing w:after="60" w:before="260"/>
      </w:pPr>
      <w:r>
        <w:rPr>
          <w:rFonts w:ascii="Arial" w:cs="Arial" w:eastAsia="Arial" w:hAnsi="Arial"/>
          <w:b/>
          <w:bCs/>
          <w:color w:val="C13A18"/>
          <w:sz w:val="18"/>
          <w:szCs w:val="18"/>
        </w:rPr>
        <w:t xml:space="preserve">QUESTION US-076</w:t>
      </w:r>
    </w:p>
    <w:p>
      <w:pPr>
        <w:spacing w:after="140"/>
      </w:pPr>
      <w:r>
        <w:rPr>
          <w:rFonts w:ascii="Arial" w:cs="Arial" w:eastAsia="Arial" w:hAnsi="Arial"/>
          <w:i/>
          <w:iCs/>
          <w:color w:val="16243E"/>
          <w:sz w:val="22"/>
          <w:szCs w:val="22"/>
        </w:rPr>
        <w:t xml:space="preserve">A property sells for $360,000. The total commission rate is 6%, split evenly (50/50) between the listing brokerage and the selling brokerage. A licensee wants to calculate the amount the listing brokerage receives, before any further split with its agent.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$18,000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$10,800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$5,400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$21,600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results from using a 5% commission rate instead of the stated 6%.</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total commission = $360,000 × 0.06 = $21,600; split evenly, the listing brokerage receives $21,600 ÷ 2 = $10,800.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incorrectly quarters the total commission instead of splitting it evenly in half.</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is the full total commission, not just the listing brokerage's half after the 50/50 split.</w:t>
      </w:r>
    </w:p>
    <w:p>
      <w:pPr>
        <w:spacing w:after="60" w:before="260"/>
      </w:pPr>
      <w:r>
        <w:rPr>
          <w:rFonts w:ascii="Arial" w:cs="Arial" w:eastAsia="Arial" w:hAnsi="Arial"/>
          <w:b/>
          <w:bCs/>
          <w:color w:val="C13A18"/>
          <w:sz w:val="18"/>
          <w:szCs w:val="18"/>
        </w:rPr>
        <w:t xml:space="preserve">QUESTION US-077</w:t>
      </w:r>
    </w:p>
    <w:p>
      <w:pPr>
        <w:spacing w:after="140"/>
      </w:pPr>
      <w:r>
        <w:rPr>
          <w:rFonts w:ascii="Arial" w:cs="Arial" w:eastAsia="Arial" w:hAnsi="Arial"/>
          <w:i/>
          <w:iCs/>
          <w:color w:val="16243E"/>
          <w:sz w:val="22"/>
          <w:szCs w:val="22"/>
        </w:rPr>
        <w:t xml:space="preserve">A home sells for $425,000 with a total commission rate of 5.5%. A licensee wants to calculate the total commission owed to the brokerages combined.</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$21,250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$19,125</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$23,375</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$25,500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results from using a 5% rate instead of the stated 5.5%.</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results from using a 4.5% rate instead of the stated 5.5%.</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correct: $425,000 × 0.055 = $23,375.</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results from using a 6% rate instead of the stated 5.5%.</w:t>
      </w:r>
    </w:p>
    <w:p>
      <w:pPr>
        <w:spacing w:after="60" w:before="260"/>
      </w:pPr>
      <w:r>
        <w:rPr>
          <w:rFonts w:ascii="Arial" w:cs="Arial" w:eastAsia="Arial" w:hAnsi="Arial"/>
          <w:b/>
          <w:bCs/>
          <w:color w:val="C13A18"/>
          <w:sz w:val="18"/>
          <w:szCs w:val="18"/>
        </w:rPr>
        <w:t xml:space="preserve">QUESTION US-078</w:t>
      </w:r>
    </w:p>
    <w:p>
      <w:pPr>
        <w:spacing w:after="140"/>
      </w:pPr>
      <w:r>
        <w:rPr>
          <w:rFonts w:ascii="Arial" w:cs="Arial" w:eastAsia="Arial" w:hAnsi="Arial"/>
          <w:i/>
          <w:iCs/>
          <w:color w:val="16243E"/>
          <w:sz w:val="22"/>
          <w:szCs w:val="22"/>
        </w:rPr>
        <w:t xml:space="preserve">A property sells for $210,000 with a 6% total commission, split evenly between the listing and selling brokerages. The listing agent's split with their broker is 70% to the agent and 30% to the broker. A licensee wants to calculate how much the listing agent personally receives.</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$6,300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$4,410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$3,780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$8,820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is the full listing brokerage's half of the commission, before the 70/30 split between the agent and broker is applied.</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total commission = $210,000 × 0.06 = $12,600; listing side = $12,600 ÷ 2 = $6,300; agent's share = $6,300 × 0.70 = $4,410.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incorrectly applies a 60% agent split instead of the stated 70%.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doubles the correct agent share and does not reflect the proper calculation.</w:t>
      </w:r>
    </w:p>
    <w:p>
      <w:pPr>
        <w:spacing w:after="60" w:before="260"/>
      </w:pPr>
      <w:r>
        <w:rPr>
          <w:rFonts w:ascii="Arial" w:cs="Arial" w:eastAsia="Arial" w:hAnsi="Arial"/>
          <w:b/>
          <w:bCs/>
          <w:color w:val="C13A18"/>
          <w:sz w:val="18"/>
          <w:szCs w:val="18"/>
        </w:rPr>
        <w:t xml:space="preserve">QUESTION US-079</w:t>
      </w:r>
    </w:p>
    <w:p>
      <w:pPr>
        <w:spacing w:after="140"/>
      </w:pPr>
      <w:r>
        <w:rPr>
          <w:rFonts w:ascii="Arial" w:cs="Arial" w:eastAsia="Arial" w:hAnsi="Arial"/>
          <w:i/>
          <w:iCs/>
          <w:color w:val="16243E"/>
          <w:sz w:val="22"/>
          <w:szCs w:val="22"/>
        </w:rPr>
        <w:t xml:space="preserve">A property sells for $300,000. The selling brokerage's share of commission is 3% of the sale price. A referral fee of 25% of the selling brokerage's commission is owed to a referring agent. A licensee wants to calculate the referral fee amount.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$3,000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$2,250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$900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$4,500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equals 1% of the sale price and does not correctly reflect the referral fee calculation.</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selling side commission = $300,000 × 0.03 = $9,000; referral fee = $9,000 × 0.25 = $2,250.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does not correctly apply 25% to the full 3% selling-side commission amount.</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results from using a 50% referral rate instead of the stated 25%.</w:t>
      </w:r>
    </w:p>
    <w:p>
      <w:pPr>
        <w:spacing w:after="60" w:before="260"/>
      </w:pPr>
      <w:r>
        <w:rPr>
          <w:rFonts w:ascii="Arial" w:cs="Arial" w:eastAsia="Arial" w:hAnsi="Arial"/>
          <w:b/>
          <w:bCs/>
          <w:color w:val="C13A18"/>
          <w:sz w:val="18"/>
          <w:szCs w:val="18"/>
        </w:rPr>
        <w:t xml:space="preserve">QUESTION US-080</w:t>
      </w:r>
    </w:p>
    <w:p>
      <w:pPr>
        <w:spacing w:after="140"/>
      </w:pPr>
      <w:r>
        <w:rPr>
          <w:rFonts w:ascii="Arial" w:cs="Arial" w:eastAsia="Arial" w:hAnsi="Arial"/>
          <w:i/>
          <w:iCs/>
          <w:color w:val="16243E"/>
          <w:sz w:val="22"/>
          <w:szCs w:val="22"/>
        </w:rPr>
        <w:t xml:space="preserve">A property sells for $475,000 with a 6% total commission, split evenly between brokerages. The listing agent's split with their broker is 60% to the agent. A licensee wants to calculate the listing agent's personal share.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$14,250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$9,500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$5,700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$8,550</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is the full listing brokerage's half of the commission, before the 60/40 split between agent and broker is applied.</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does not correctly reflect either the listing side's share or the proper 60% agent split.</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reflects the broker's 40% share rather than the agent's 60% share.</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listing side share = $475,000 × 0.03 = $14,250; agent's share = $14,250 × 0.60 = $8,550.</w:t>
      </w:r>
    </w:p>
    <w:p>
      <w:pPr>
        <w:spacing w:after="60" w:before="260"/>
      </w:pPr>
      <w:r>
        <w:rPr>
          <w:rFonts w:ascii="Arial" w:cs="Arial" w:eastAsia="Arial" w:hAnsi="Arial"/>
          <w:b/>
          <w:bCs/>
          <w:color w:val="C13A18"/>
          <w:sz w:val="18"/>
          <w:szCs w:val="18"/>
        </w:rPr>
        <w:t xml:space="preserve">QUESTION US-081</w:t>
      </w:r>
    </w:p>
    <w:p>
      <w:pPr>
        <w:spacing w:after="140"/>
      </w:pPr>
      <w:r>
        <w:rPr>
          <w:rFonts w:ascii="Arial" w:cs="Arial" w:eastAsia="Arial" w:hAnsi="Arial"/>
          <w:i/>
          <w:iCs/>
          <w:color w:val="16243E"/>
          <w:sz w:val="22"/>
          <w:szCs w:val="22"/>
        </w:rPr>
        <w:t xml:space="preserve">Annual property taxes on a home are $2,920, already paid in full by the seller for the year. There are 122 days remaining in the tax year after closing (the buyer's period of ownership). A licensee wants to calculate the credit the buyer owes the seller at closing.</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$8</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$976</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$1,464</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$488</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is just the daily tax rate itself, not multiplied by the 122 days of the buyer's ownership.</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daily tax rate = $2,920 ÷ 365 = $8/day; buyer's credit to seller = $8 × 122 days = $976.</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uses 183 days instead of the 122 days stated in the scenario.</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is half the correct amount, as if only 61 days had been used instead of the stated 122.</w:t>
      </w:r>
    </w:p>
    <w:p>
      <w:pPr>
        <w:spacing w:after="60" w:before="260"/>
      </w:pPr>
      <w:r>
        <w:rPr>
          <w:rFonts w:ascii="Arial" w:cs="Arial" w:eastAsia="Arial" w:hAnsi="Arial"/>
          <w:b/>
          <w:bCs/>
          <w:color w:val="C13A18"/>
          <w:sz w:val="18"/>
          <w:szCs w:val="18"/>
        </w:rPr>
        <w:t xml:space="preserve">QUESTION US-082</w:t>
      </w:r>
    </w:p>
    <w:p>
      <w:pPr>
        <w:spacing w:after="140"/>
      </w:pPr>
      <w:r>
        <w:rPr>
          <w:rFonts w:ascii="Arial" w:cs="Arial" w:eastAsia="Arial" w:hAnsi="Arial"/>
          <w:i/>
          <w:iCs/>
          <w:color w:val="16243E"/>
          <w:sz w:val="22"/>
          <w:szCs w:val="22"/>
        </w:rPr>
        <w:t xml:space="preserve">Annual HOA dues of $1,800 have already been paid in full by the seller, using a 360-day year for proration purposes. There are 80 days remaining in the year after closing (the buyer's period of ownership). A licensee wants to calculate the credit owed to the seller at closing.</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$5</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$600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$400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$200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is just the daily HOA rate itself, not multiplied by the 80 days.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uses 120 days instead of the 80 days stated in the scenario.</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correct: daily rate = $1,800 ÷ 360 = $5/day; credit to seller = $5 × 80 days = $400.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is half the correct amount, as if only 40 days had been used instead of the stated 80.</w:t>
      </w:r>
    </w:p>
    <w:p>
      <w:pPr>
        <w:spacing w:after="60" w:before="260"/>
      </w:pPr>
      <w:r>
        <w:rPr>
          <w:rFonts w:ascii="Arial" w:cs="Arial" w:eastAsia="Arial" w:hAnsi="Arial"/>
          <w:b/>
          <w:bCs/>
          <w:color w:val="C13A18"/>
          <w:sz w:val="18"/>
          <w:szCs w:val="18"/>
        </w:rPr>
        <w:t xml:space="preserve">QUESTION US-083</w:t>
      </w:r>
    </w:p>
    <w:p>
      <w:pPr>
        <w:spacing w:after="140"/>
      </w:pPr>
      <w:r>
        <w:rPr>
          <w:rFonts w:ascii="Arial" w:cs="Arial" w:eastAsia="Arial" w:hAnsi="Arial"/>
          <w:i/>
          <w:iCs/>
          <w:color w:val="16243E"/>
          <w:sz w:val="22"/>
          <w:szCs w:val="22"/>
        </w:rPr>
        <w:t xml:space="preserve">A tenant's rent is $1,500 for a 30-day month. The tenant moves in with 10 days remaining in that month. A licensee wants to calculate the prorated rent owed for that partial month.</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$750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$50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$250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$500</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uses 15 days instead of the 10 days stated in the scenario.</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is just the daily rent rate itself, not multiplied by the 10 days of occupancy.</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is half the correct amount, as if only 5 days had been used instead of the stated 10.</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daily rent = $1,500 ÷ 30 = $50/day; prorated rent = $50 × 10 days = $500.</w:t>
      </w:r>
    </w:p>
    <w:p>
      <w:pPr>
        <w:spacing w:after="60" w:before="260"/>
      </w:pPr>
      <w:r>
        <w:rPr>
          <w:rFonts w:ascii="Arial" w:cs="Arial" w:eastAsia="Arial" w:hAnsi="Arial"/>
          <w:b/>
          <w:bCs/>
          <w:color w:val="C13A18"/>
          <w:sz w:val="18"/>
          <w:szCs w:val="18"/>
        </w:rPr>
        <w:t xml:space="preserve">QUESTION US-084</w:t>
      </w:r>
    </w:p>
    <w:p>
      <w:pPr>
        <w:spacing w:after="140"/>
      </w:pPr>
      <w:r>
        <w:rPr>
          <w:rFonts w:ascii="Arial" w:cs="Arial" w:eastAsia="Arial" w:hAnsi="Arial"/>
          <w:i/>
          <w:iCs/>
          <w:color w:val="16243E"/>
          <w:sz w:val="22"/>
          <w:szCs w:val="22"/>
        </w:rPr>
        <w:t xml:space="preserve">Annual property taxes of $4,380 have not yet been paid for the year (they are due at year-end). Closing occurs with 200 days remaining in the year after closing (the buyer's period of ownership), meaning the seller owned the property for the other 165 days. A licensee wants to calculate the credit the seller owes the buyer at closing.</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$4,380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$990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$1,980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$2,400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is the full annual tax bill, not prorated to reflect only the seller's specific period of ownership.</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is half the correct amount and does not reflect the proper calculation.</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correct: daily tax rate = $4,380 ÷ 365 = $12/day; seller's period = 365 − 200 = 165 days; seller's credit to buyer = $12 × 165 = $1,980.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incorrectly uses the buyer's 200 days rather than the seller's 165 days of ownership.</w:t>
      </w:r>
    </w:p>
    <w:p>
      <w:pPr>
        <w:spacing w:after="60" w:before="260"/>
      </w:pPr>
      <w:r>
        <w:rPr>
          <w:rFonts w:ascii="Arial" w:cs="Arial" w:eastAsia="Arial" w:hAnsi="Arial"/>
          <w:b/>
          <w:bCs/>
          <w:color w:val="C13A18"/>
          <w:sz w:val="18"/>
          <w:szCs w:val="18"/>
        </w:rPr>
        <w:t xml:space="preserve">QUESTION US-085</w:t>
      </w:r>
    </w:p>
    <w:p>
      <w:pPr>
        <w:spacing w:after="140"/>
      </w:pPr>
      <w:r>
        <w:rPr>
          <w:rFonts w:ascii="Arial" w:cs="Arial" w:eastAsia="Arial" w:hAnsi="Arial"/>
          <w:i/>
          <w:iCs/>
          <w:color w:val="16243E"/>
          <w:sz w:val="22"/>
          <w:szCs w:val="22"/>
        </w:rPr>
        <w:t xml:space="preserve">Annual property taxes of $3,285 have not yet been paid for the year. Closing occurs after the seller has owned the property for 45 days of the tax year. A licensee wants to calculate the credit the seller owes the buyer at closing.</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$405</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$3,285</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$810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$202.50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daily tax rate = $3,285 ÷ 365 = $9/day; seller's credit to buyer = $9 × 45 days = $405.</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is the full annual tax bill, not prorated to the seller's 45-day period of ownership.</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doubles the correct amount and does not reflect the proper calculation.</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is half the correct amount and does not reflect the proper calculation.</w:t>
      </w:r>
    </w:p>
    <w:p>
      <w:pPr>
        <w:spacing w:after="60" w:before="260"/>
      </w:pPr>
      <w:r>
        <w:rPr>
          <w:rFonts w:ascii="Arial" w:cs="Arial" w:eastAsia="Arial" w:hAnsi="Arial"/>
          <w:b/>
          <w:bCs/>
          <w:color w:val="C13A18"/>
          <w:sz w:val="18"/>
          <w:szCs w:val="18"/>
        </w:rPr>
        <w:t xml:space="preserve">QUESTION US-086</w:t>
      </w:r>
    </w:p>
    <w:p>
      <w:pPr>
        <w:spacing w:after="140"/>
      </w:pPr>
      <w:r>
        <w:rPr>
          <w:rFonts w:ascii="Arial" w:cs="Arial" w:eastAsia="Arial" w:hAnsi="Arial"/>
          <w:i/>
          <w:iCs/>
          <w:color w:val="16243E"/>
          <w:sz w:val="22"/>
          <w:szCs w:val="22"/>
        </w:rPr>
        <w:t xml:space="preserve">A comparable property sold for $198,000 and rents for $1,800 per month. A licensee wants to calculate its gross rent multiplier (GRM).</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110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120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1,100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90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GRM = sale price ÷ monthly rent = $198,000 ÷ $1,800 = 110.</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is close but does not match the accurate quotient of $198,000 divided by $1,800.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is off by a factor of 10 from the correct GRM.</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does not match the correct division of $198,000 by $1,800.</w:t>
      </w:r>
    </w:p>
    <w:p>
      <w:pPr>
        <w:spacing w:after="60" w:before="260"/>
      </w:pPr>
      <w:r>
        <w:rPr>
          <w:rFonts w:ascii="Arial" w:cs="Arial" w:eastAsia="Arial" w:hAnsi="Arial"/>
          <w:b/>
          <w:bCs/>
          <w:color w:val="C13A18"/>
          <w:sz w:val="18"/>
          <w:szCs w:val="18"/>
        </w:rPr>
        <w:t xml:space="preserve">QUESTION US-087</w:t>
      </w:r>
    </w:p>
    <w:p>
      <w:pPr>
        <w:spacing w:after="140"/>
      </w:pPr>
      <w:r>
        <w:rPr>
          <w:rFonts w:ascii="Arial" w:cs="Arial" w:eastAsia="Arial" w:hAnsi="Arial"/>
          <w:i/>
          <w:iCs/>
          <w:color w:val="16243E"/>
          <w:sz w:val="22"/>
          <w:szCs w:val="22"/>
        </w:rPr>
        <w:t xml:space="preserve">Using a GRM of 125 derived from comparable sales, a licensee wants to estimate the value of a subject property that rents for $1,600 per month.</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$187,500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$220,000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$200,000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$160,000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does not match correctly multiplying 125 by $1,600.</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does not match correctly multiplying 125 by $1,600.</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correct: value = GRM × monthly rent = 125 × $1,600 = $200,000.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incorrectly divides the rent by the GRM instead of multiplying.</w:t>
      </w:r>
    </w:p>
    <w:p>
      <w:pPr>
        <w:spacing w:after="60" w:before="260"/>
      </w:pPr>
      <w:r>
        <w:rPr>
          <w:rFonts w:ascii="Arial" w:cs="Arial" w:eastAsia="Arial" w:hAnsi="Arial"/>
          <w:b/>
          <w:bCs/>
          <w:color w:val="C13A18"/>
          <w:sz w:val="18"/>
          <w:szCs w:val="18"/>
        </w:rPr>
        <w:t xml:space="preserve">QUESTION US-088</w:t>
      </w:r>
    </w:p>
    <w:p>
      <w:pPr>
        <w:spacing w:after="140"/>
      </w:pPr>
      <w:r>
        <w:rPr>
          <w:rFonts w:ascii="Arial" w:cs="Arial" w:eastAsia="Arial" w:hAnsi="Arial"/>
          <w:i/>
          <w:iCs/>
          <w:color w:val="16243E"/>
          <w:sz w:val="22"/>
          <w:szCs w:val="22"/>
        </w:rPr>
        <w:t xml:space="preserve">A property sold for $312,000 and rents for $2,400 per month. A licensee wants to calculate its GRM.</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130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140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1,300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115</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GRM = $312,000 ÷ $2,400 = 130.</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does not match the accurate division of $312,000 by $2,400.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is off by a factor of 10 from the correct GRM.</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does not match the accurate division of $312,000 by $2,400.</w:t>
      </w:r>
    </w:p>
    <w:p>
      <w:pPr>
        <w:spacing w:after="60" w:before="260"/>
      </w:pPr>
      <w:r>
        <w:rPr>
          <w:rFonts w:ascii="Arial" w:cs="Arial" w:eastAsia="Arial" w:hAnsi="Arial"/>
          <w:b/>
          <w:bCs/>
          <w:color w:val="C13A18"/>
          <w:sz w:val="18"/>
          <w:szCs w:val="18"/>
        </w:rPr>
        <w:t xml:space="preserve">QUESTION US-089</w:t>
      </w:r>
    </w:p>
    <w:p>
      <w:pPr>
        <w:spacing w:after="140"/>
      </w:pPr>
      <w:r>
        <w:rPr>
          <w:rFonts w:ascii="Arial" w:cs="Arial" w:eastAsia="Arial" w:hAnsi="Arial"/>
          <w:i/>
          <w:iCs/>
          <w:color w:val="16243E"/>
          <w:sz w:val="22"/>
          <w:szCs w:val="22"/>
        </w:rPr>
        <w:t xml:space="preserve">Using a GRM of 105, a licensee wants to estimate the value of a property renting for $2,200 per month.</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$209,000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$252,000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$220,500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$231,000</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does not match the correct multiplication of 105 by $2,200.</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overstates the value and does not match applying the stated GRM of 105.</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does not match the correct multiplication of 105 by $2,200.</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value = 105 × $2,200 = $231,000.</w:t>
      </w:r>
    </w:p>
    <w:p>
      <w:pPr>
        <w:spacing w:after="60" w:before="260"/>
      </w:pPr>
      <w:r>
        <w:rPr>
          <w:rFonts w:ascii="Arial" w:cs="Arial" w:eastAsia="Arial" w:hAnsi="Arial"/>
          <w:b/>
          <w:bCs/>
          <w:color w:val="C13A18"/>
          <w:sz w:val="18"/>
          <w:szCs w:val="18"/>
        </w:rPr>
        <w:t xml:space="preserve">QUESTION US-090</w:t>
      </w:r>
    </w:p>
    <w:p>
      <w:pPr>
        <w:spacing w:after="140"/>
      </w:pPr>
      <w:r>
        <w:rPr>
          <w:rFonts w:ascii="Arial" w:cs="Arial" w:eastAsia="Arial" w:hAnsi="Arial"/>
          <w:i/>
          <w:iCs/>
          <w:color w:val="16243E"/>
          <w:sz w:val="22"/>
          <w:szCs w:val="22"/>
        </w:rPr>
        <w:t xml:space="preserve">A property with monthly rent of $1,950 sold for $253,500. A licensee wants to calculate its GRM.</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120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130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145</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125</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does not match the exact division of $253,500 by $1,950.</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GRM = $253,500 ÷ $1,950 = 130.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does not match the exact division of $253,500 by $1,950.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does not match the exact division of $253,500 by $1,950.</w:t>
      </w:r>
    </w:p>
    <w:p>
      <w:pPr>
        <w:spacing w:after="60" w:before="260"/>
      </w:pPr>
      <w:r>
        <w:rPr>
          <w:rFonts w:ascii="Arial" w:cs="Arial" w:eastAsia="Arial" w:hAnsi="Arial"/>
          <w:b/>
          <w:bCs/>
          <w:color w:val="C13A18"/>
          <w:sz w:val="18"/>
          <w:szCs w:val="18"/>
        </w:rPr>
        <w:t xml:space="preserve">QUESTION US-091</w:t>
      </w:r>
    </w:p>
    <w:p>
      <w:pPr>
        <w:spacing w:after="140"/>
      </w:pPr>
      <w:r>
        <w:rPr>
          <w:rFonts w:ascii="Arial" w:cs="Arial" w:eastAsia="Arial" w:hAnsi="Arial"/>
          <w:i/>
          <w:iCs/>
          <w:color w:val="16243E"/>
          <w:sz w:val="22"/>
          <w:szCs w:val="22"/>
        </w:rPr>
        <w:t xml:space="preserve">A comparable investment property sold for $960,000 and generates $120,000 in annual gross income. A licensee wants to calculate its gross income multiplier (GIM).</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6</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8</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9</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7</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does not match the correct division of $960,000 by $120,000.</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GIM = sale price ÷ annual gross income = $960,000 ÷ $120,000 = 8.</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does not match the correct division of $960,000 by $120,000.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does not match the correct division of $960,000 by $120,000.</w:t>
      </w:r>
    </w:p>
    <w:p>
      <w:pPr>
        <w:spacing w:after="60" w:before="260"/>
      </w:pPr>
      <w:r>
        <w:rPr>
          <w:rFonts w:ascii="Arial" w:cs="Arial" w:eastAsia="Arial" w:hAnsi="Arial"/>
          <w:b/>
          <w:bCs/>
          <w:color w:val="C13A18"/>
          <w:sz w:val="18"/>
          <w:szCs w:val="18"/>
        </w:rPr>
        <w:t xml:space="preserve">QUESTION US-092</w:t>
      </w:r>
    </w:p>
    <w:p>
      <w:pPr>
        <w:spacing w:after="140"/>
      </w:pPr>
      <w:r>
        <w:rPr>
          <w:rFonts w:ascii="Arial" w:cs="Arial" w:eastAsia="Arial" w:hAnsi="Arial"/>
          <w:i/>
          <w:iCs/>
          <w:color w:val="16243E"/>
          <w:sz w:val="22"/>
          <w:szCs w:val="22"/>
        </w:rPr>
        <w:t xml:space="preserve">Using a GIM of 7.5, a licensee wants to estimate the value of a property with annual gross income of $150,000.</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$1,125,000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$1,050,000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$975,000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$1,200,000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value = 7.5 × $150,000 = $1,125,000.</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does not match the correct multiplication of 7.5 by $150,000.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does not match the correct multiplication of 7.5 by $150,000.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does not match the correct multiplication of 7.5 by $150,000.</w:t>
      </w:r>
    </w:p>
    <w:p>
      <w:pPr>
        <w:spacing w:after="60" w:before="260"/>
      </w:pPr>
      <w:r>
        <w:rPr>
          <w:rFonts w:ascii="Arial" w:cs="Arial" w:eastAsia="Arial" w:hAnsi="Arial"/>
          <w:b/>
          <w:bCs/>
          <w:color w:val="C13A18"/>
          <w:sz w:val="18"/>
          <w:szCs w:val="18"/>
        </w:rPr>
        <w:t xml:space="preserve">QUESTION US-093</w:t>
      </w:r>
    </w:p>
    <w:p>
      <w:pPr>
        <w:spacing w:after="140"/>
      </w:pPr>
      <w:r>
        <w:rPr>
          <w:rFonts w:ascii="Arial" w:cs="Arial" w:eastAsia="Arial" w:hAnsi="Arial"/>
          <w:i/>
          <w:iCs/>
          <w:color w:val="16243E"/>
          <w:sz w:val="22"/>
          <w:szCs w:val="22"/>
        </w:rPr>
        <w:t xml:space="preserve">A property sold for $1,200,000 and generates annual gross income of $160,000. A licensee wants to calculate its GIM.</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7.5</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7</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6.5</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8</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GIM = $1,200,000 ÷ $160,000 = 7.5.</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does not match the correct division of $1,200,000 by $160,000.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does not match the correct division of $1,200,000 by $160,000.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does not match the correct division of $1,200,000 by $160,000.</w:t>
      </w:r>
    </w:p>
    <w:p>
      <w:pPr>
        <w:spacing w:after="60" w:before="260"/>
      </w:pPr>
      <w:r>
        <w:rPr>
          <w:rFonts w:ascii="Arial" w:cs="Arial" w:eastAsia="Arial" w:hAnsi="Arial"/>
          <w:b/>
          <w:bCs/>
          <w:color w:val="C13A18"/>
          <w:sz w:val="18"/>
          <w:szCs w:val="18"/>
        </w:rPr>
        <w:t xml:space="preserve">QUESTION US-094</w:t>
      </w:r>
    </w:p>
    <w:p>
      <w:pPr>
        <w:spacing w:after="140"/>
      </w:pPr>
      <w:r>
        <w:rPr>
          <w:rFonts w:ascii="Arial" w:cs="Arial" w:eastAsia="Arial" w:hAnsi="Arial"/>
          <w:i/>
          <w:iCs/>
          <w:color w:val="16243E"/>
          <w:sz w:val="22"/>
          <w:szCs w:val="22"/>
        </w:rPr>
        <w:t xml:space="preserve">Using a GIM of 9, a licensee wants to estimate the value of a property with annual gross income of $95,000.</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$900,000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$855,000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$760,000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$810,000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does not match the correct multiplication of 9 by $95,000.</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value = 9 × $95,000 = $855,000.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does not match the correct multiplication of 9 by $95,000.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does not match the correct multiplication of 9 by $95,000.</w:t>
      </w:r>
    </w:p>
    <w:p>
      <w:pPr>
        <w:spacing w:after="60" w:before="260"/>
      </w:pPr>
      <w:r>
        <w:rPr>
          <w:rFonts w:ascii="Arial" w:cs="Arial" w:eastAsia="Arial" w:hAnsi="Arial"/>
          <w:b/>
          <w:bCs/>
          <w:color w:val="C13A18"/>
          <w:sz w:val="18"/>
          <w:szCs w:val="18"/>
        </w:rPr>
        <w:t xml:space="preserve">QUESTION US-095</w:t>
      </w:r>
    </w:p>
    <w:p>
      <w:pPr>
        <w:spacing w:after="140"/>
      </w:pPr>
      <w:r>
        <w:rPr>
          <w:rFonts w:ascii="Arial" w:cs="Arial" w:eastAsia="Arial" w:hAnsi="Arial"/>
          <w:i/>
          <w:iCs/>
          <w:color w:val="16243E"/>
          <w:sz w:val="22"/>
          <w:szCs w:val="22"/>
        </w:rPr>
        <w:t xml:space="preserve">A property sold for $840,000 and generates annual gross income of $140,000. A licensee wants to calculate its GIM.</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5</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5.5</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6</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6.5</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does not match the correct division of $840,000 by $140,000.</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does not match the correct division of $840,000 by $140,000.</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correct: GIM = $840,000 ÷ $140,000 = 6.</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does not match the correct division of $840,000 by $140,000.</w:t>
      </w:r>
    </w:p>
    <w:p>
      <w:pPr>
        <w:spacing w:after="60" w:before="260"/>
      </w:pPr>
      <w:r>
        <w:rPr>
          <w:rFonts w:ascii="Arial" w:cs="Arial" w:eastAsia="Arial" w:hAnsi="Arial"/>
          <w:b/>
          <w:bCs/>
          <w:color w:val="C13A18"/>
          <w:sz w:val="18"/>
          <w:szCs w:val="18"/>
        </w:rPr>
        <w:t xml:space="preserve">QUESTION US-096</w:t>
      </w:r>
    </w:p>
    <w:p>
      <w:pPr>
        <w:spacing w:after="140"/>
      </w:pPr>
      <w:r>
        <w:rPr>
          <w:rFonts w:ascii="Arial" w:cs="Arial" w:eastAsia="Arial" w:hAnsi="Arial"/>
          <w:i/>
          <w:iCs/>
          <w:color w:val="16243E"/>
          <w:sz w:val="22"/>
          <w:szCs w:val="22"/>
        </w:rPr>
        <w:t xml:space="preserve">A buyer's monthly mortgage principal and interest payment is $1,100. The lender also collects $250 per month for property tax escrow and $80 per month for insurance escrow. A licensee wants to calculate the buyer's total monthly PITI payment.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$1,510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$1,350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C.  </w:t>
      </w:r>
      <w:r>
        <w:rPr>
          <w:rFonts w:ascii="Arial" w:cs="Arial" w:eastAsia="Arial" w:hAnsi="Arial"/>
          <w:b/>
          <w:bCs/>
          <w:color w:val="2F6E4F"/>
          <w:sz w:val="20"/>
          <w:szCs w:val="20"/>
        </w:rPr>
        <w:t xml:space="preserve">$1,430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$1,100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overstates the total and includes an amount not part of the figures given.</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omits part of one of the stated escrow components and does not reflect the full total.</w:t>
      </w:r>
    </w:p>
    <w:p>
      <w:pPr>
        <w:spacing w:after="90"/>
        <w:ind w:left="420" w:hanging="160"/>
      </w:pPr>
      <w:r>
        <w:rPr>
          <w:rFonts w:ascii="Arial" w:cs="Arial" w:eastAsia="Arial" w:hAnsi="Arial"/>
          <w:b/>
          <w:bCs/>
          <w:color w:val="2F6E4F"/>
          <w:sz w:val="19"/>
          <w:szCs w:val="19"/>
        </w:rPr>
        <w:t xml:space="preserve">C — CORRECT: </w:t>
      </w:r>
      <w:r>
        <w:rPr>
          <w:rFonts w:ascii="Arial" w:cs="Arial" w:eastAsia="Arial" w:hAnsi="Arial"/>
          <w:color w:val="16243E"/>
          <w:sz w:val="19"/>
          <w:szCs w:val="19"/>
        </w:rPr>
        <w:t xml:space="preserve">This is correct: PITI = $1,100 (P&amp;I) + $250 (taxes) + $80 (insurance) = $1,430.</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reflects principal and interest only, omitting the property tax and insurance escrow amounts entirely.</w:t>
      </w:r>
    </w:p>
    <w:p>
      <w:pPr>
        <w:spacing w:after="60" w:before="260"/>
      </w:pPr>
      <w:r>
        <w:rPr>
          <w:rFonts w:ascii="Arial" w:cs="Arial" w:eastAsia="Arial" w:hAnsi="Arial"/>
          <w:b/>
          <w:bCs/>
          <w:color w:val="C13A18"/>
          <w:sz w:val="18"/>
          <w:szCs w:val="18"/>
        </w:rPr>
        <w:t xml:space="preserve">QUESTION US-097</w:t>
      </w:r>
    </w:p>
    <w:p>
      <w:pPr>
        <w:spacing w:after="140"/>
      </w:pPr>
      <w:r>
        <w:rPr>
          <w:rFonts w:ascii="Arial" w:cs="Arial" w:eastAsia="Arial" w:hAnsi="Arial"/>
          <w:i/>
          <w:iCs/>
          <w:color w:val="16243E"/>
          <w:sz w:val="22"/>
          <w:szCs w:val="22"/>
        </w:rPr>
        <w:t xml:space="preserve">A borrower's annual property taxes are $3,600 and annual homeowners insurance is $960, both collected monthly through escrow. The monthly principal and interest payment is $1,250. A licensee wants to calculate the total monthly PITI payment.</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$1,250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$1,710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$1,550</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D.  </w:t>
      </w:r>
      <w:r>
        <w:rPr>
          <w:rFonts w:ascii="Arial" w:cs="Arial" w:eastAsia="Arial" w:hAnsi="Arial"/>
          <w:b/>
          <w:bCs/>
          <w:color w:val="2F6E4F"/>
          <w:sz w:val="20"/>
          <w:szCs w:val="20"/>
        </w:rPr>
        <w:t xml:space="preserve">$1,630</w:t>
      </w:r>
      <w:r>
        <w:rPr>
          <w:rFonts w:ascii="Arial" w:cs="Arial" w:eastAsia="Arial" w:hAnsi="Arial"/>
          <w:b/>
          <w:bCs/>
          <w:color w:val="2F6E4F"/>
          <w:sz w:val="18"/>
          <w:szCs w:val="18"/>
        </w:rPr>
        <w:t xml:space="preserve">   ✓ Correct Answer</w:t>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reflects principal and interest only, omitting the monthly tax and insurance escrow amounts.</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overstates the total and does not match the correct sum of all three components.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understates the total and does not correctly reflect the monthly tax and insurance amounts.</w:t>
      </w:r>
    </w:p>
    <w:p>
      <w:pPr>
        <w:spacing w:after="90"/>
        <w:ind w:left="420" w:hanging="160"/>
      </w:pPr>
      <w:r>
        <w:rPr>
          <w:rFonts w:ascii="Arial" w:cs="Arial" w:eastAsia="Arial" w:hAnsi="Arial"/>
          <w:b/>
          <w:bCs/>
          <w:color w:val="2F6E4F"/>
          <w:sz w:val="19"/>
          <w:szCs w:val="19"/>
        </w:rPr>
        <w:t xml:space="preserve">D — CORRECT: </w:t>
      </w:r>
      <w:r>
        <w:rPr>
          <w:rFonts w:ascii="Arial" w:cs="Arial" w:eastAsia="Arial" w:hAnsi="Arial"/>
          <w:color w:val="16243E"/>
          <w:sz w:val="19"/>
          <w:szCs w:val="19"/>
        </w:rPr>
        <w:t xml:space="preserve">This is correct: monthly taxes = $3,600 ÷ 12 = $300; monthly insurance = $960 ÷ 12 = $80; PITI = $1,250 + $300 + $80 = $1,630.</w:t>
      </w:r>
    </w:p>
    <w:p>
      <w:pPr>
        <w:spacing w:after="60" w:before="260"/>
      </w:pPr>
      <w:r>
        <w:rPr>
          <w:rFonts w:ascii="Arial" w:cs="Arial" w:eastAsia="Arial" w:hAnsi="Arial"/>
          <w:b/>
          <w:bCs/>
          <w:color w:val="C13A18"/>
          <w:sz w:val="18"/>
          <w:szCs w:val="18"/>
        </w:rPr>
        <w:t xml:space="preserve">QUESTION US-098</w:t>
      </w:r>
    </w:p>
    <w:p>
      <w:pPr>
        <w:spacing w:after="140"/>
      </w:pPr>
      <w:r>
        <w:rPr>
          <w:rFonts w:ascii="Arial" w:cs="Arial" w:eastAsia="Arial" w:hAnsi="Arial"/>
          <w:i/>
          <w:iCs/>
          <w:color w:val="16243E"/>
          <w:sz w:val="22"/>
          <w:szCs w:val="22"/>
        </w:rPr>
        <w:t xml:space="preserve">A loan's monthly principal and interest payment is $1,475. The lender collects $310 per month for taxes and $95 per month for insurance. A licensee wants to calculate the borrower's total monthly PITI.</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$1,880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$1,975</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$1,785</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$1,475</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PITI = $1,475 + $310 + $95 = $1,880.</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does not match the correct sum of all three stated monthly components.</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does not match the correct sum of all three stated monthly components.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reflects principal and interest only, omitting the tax and insurance escrow amounts.</w:t>
      </w:r>
    </w:p>
    <w:p>
      <w:pPr>
        <w:spacing w:after="60" w:before="260"/>
      </w:pPr>
      <w:r>
        <w:rPr>
          <w:rFonts w:ascii="Arial" w:cs="Arial" w:eastAsia="Arial" w:hAnsi="Arial"/>
          <w:b/>
          <w:bCs/>
          <w:color w:val="C13A18"/>
          <w:sz w:val="18"/>
          <w:szCs w:val="18"/>
        </w:rPr>
        <w:t xml:space="preserve">QUESTION US-099</w:t>
      </w:r>
    </w:p>
    <w:p>
      <w:pPr>
        <w:spacing w:after="140"/>
      </w:pPr>
      <w:r>
        <w:rPr>
          <w:rFonts w:ascii="Arial" w:cs="Arial" w:eastAsia="Arial" w:hAnsi="Arial"/>
          <w:i/>
          <w:iCs/>
          <w:color w:val="16243E"/>
          <w:sz w:val="22"/>
          <w:szCs w:val="22"/>
        </w:rPr>
        <w:t xml:space="preserve">A borrower's annual property taxes are $2,760 and annual insurance is $600, both collected monthly. The monthly principal and interest payment is $980. A licensee wants to calculate the total monthly PITI payment.</w:t>
      </w:r>
    </w:p>
    <w:p>
      <w:pPr>
        <w:spacing w:after="40"/>
        <w:ind w:left="260"/>
      </w:pPr>
      <w:r>
        <w:rPr>
          <w:rFonts w:ascii="Arial" w:cs="Arial" w:eastAsia="Arial" w:hAnsi="Arial"/>
          <w:b/>
          <w:bCs/>
          <w:color w:val="2F6E4F"/>
          <w:sz w:val="20"/>
          <w:szCs w:val="20"/>
        </w:rPr>
        <w:t xml:space="preserve">A.  </w:t>
      </w:r>
      <w:r>
        <w:rPr>
          <w:rFonts w:ascii="Arial" w:cs="Arial" w:eastAsia="Arial" w:hAnsi="Arial"/>
          <w:b/>
          <w:bCs/>
          <w:color w:val="2F6E4F"/>
          <w:sz w:val="20"/>
          <w:szCs w:val="20"/>
        </w:rPr>
        <w:t xml:space="preserve">$1,260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B.  </w:t>
      </w:r>
      <w:r>
        <w:rPr>
          <w:rFonts w:ascii="Arial" w:cs="Arial" w:eastAsia="Arial" w:hAnsi="Arial"/>
          <w:b w:val="false"/>
          <w:bCs w:val="false"/>
          <w:color w:val="16243E"/>
          <w:sz w:val="20"/>
          <w:szCs w:val="20"/>
        </w:rPr>
        <w:t xml:space="preserve">$1,340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$980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$1,180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2F6E4F"/>
          <w:sz w:val="19"/>
          <w:szCs w:val="19"/>
        </w:rPr>
        <w:t xml:space="preserve">A — CORRECT: </w:t>
      </w:r>
      <w:r>
        <w:rPr>
          <w:rFonts w:ascii="Arial" w:cs="Arial" w:eastAsia="Arial" w:hAnsi="Arial"/>
          <w:color w:val="16243E"/>
          <w:sz w:val="19"/>
          <w:szCs w:val="19"/>
        </w:rPr>
        <w:t xml:space="preserve">This is correct: monthly taxes = $2,760 ÷ 12 = $230; monthly insurance = $600 ÷ 12 = $50; PITI = $980 + $230 + $50 = $1,260.</w:t>
      </w:r>
    </w:p>
    <w:p>
      <w:pPr>
        <w:spacing w:after="90"/>
        <w:ind w:left="420" w:hanging="160"/>
      </w:pPr>
      <w:r>
        <w:rPr>
          <w:rFonts w:ascii="Arial" w:cs="Arial" w:eastAsia="Arial" w:hAnsi="Arial"/>
          <w:b/>
          <w:bCs/>
          <w:color w:val="B3261E"/>
          <w:sz w:val="19"/>
          <w:szCs w:val="19"/>
        </w:rPr>
        <w:t xml:space="preserve">B — INCORRECT: </w:t>
      </w:r>
      <w:r>
        <w:rPr>
          <w:rFonts w:ascii="Arial" w:cs="Arial" w:eastAsia="Arial" w:hAnsi="Arial"/>
          <w:color w:val="16243E"/>
          <w:sz w:val="19"/>
          <w:szCs w:val="19"/>
        </w:rPr>
        <w:t xml:space="preserve">This figure does not match the correct sum of monthly principal and interest plus monthly taxes and insurance.</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reflects principal and interest only, omitting the monthly tax and insurance escrow amounts.</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does not match the correct sum of monthly principal and interest plus monthly taxes and insurance.</w:t>
      </w:r>
    </w:p>
    <w:p>
      <w:pPr>
        <w:spacing w:after="60" w:before="260"/>
      </w:pPr>
      <w:r>
        <w:rPr>
          <w:rFonts w:ascii="Arial" w:cs="Arial" w:eastAsia="Arial" w:hAnsi="Arial"/>
          <w:b/>
          <w:bCs/>
          <w:color w:val="C13A18"/>
          <w:sz w:val="18"/>
          <w:szCs w:val="18"/>
        </w:rPr>
        <w:t xml:space="preserve">QUESTION US-100</w:t>
      </w:r>
    </w:p>
    <w:p>
      <w:pPr>
        <w:spacing w:after="140"/>
      </w:pPr>
      <w:r>
        <w:rPr>
          <w:rFonts w:ascii="Arial" w:cs="Arial" w:eastAsia="Arial" w:hAnsi="Arial"/>
          <w:i/>
          <w:iCs/>
          <w:color w:val="16243E"/>
          <w:sz w:val="22"/>
          <w:szCs w:val="22"/>
        </w:rPr>
        <w:t xml:space="preserve">A lender requires that a borrower's total PITI payment not exceed 28% of their gross monthly income. The borrower's gross monthly income is $6,500. A licensee wants to calculate the maximum allowable PITI payment under this guideline.</w:t>
      </w:r>
    </w:p>
    <w:p>
      <w:pPr>
        <w:spacing w:after="40"/>
        <w:ind w:left="260"/>
      </w:pPr>
      <w:r>
        <w:rPr>
          <w:rFonts w:ascii="Arial" w:cs="Arial" w:eastAsia="Arial" w:hAnsi="Arial"/>
          <w:b/>
          <w:bCs/>
          <w:color w:val="16243E"/>
          <w:sz w:val="20"/>
          <w:szCs w:val="20"/>
        </w:rPr>
        <w:t xml:space="preserve">A.  </w:t>
      </w:r>
      <w:r>
        <w:rPr>
          <w:rFonts w:ascii="Arial" w:cs="Arial" w:eastAsia="Arial" w:hAnsi="Arial"/>
          <w:b w:val="false"/>
          <w:bCs w:val="false"/>
          <w:color w:val="16243E"/>
          <w:sz w:val="20"/>
          <w:szCs w:val="20"/>
        </w:rPr>
        <w:t xml:space="preserve">$1,755</w:t>
      </w:r>
      <w:r>
        <w:rPr>
          <w:rFonts w:ascii="Arial" w:cs="Arial" w:eastAsia="Arial" w:hAnsi="Arial"/>
        </w:rPr>
        <w:t xml:space="preserve"/>
      </w:r>
    </w:p>
    <w:p>
      <w:pPr>
        <w:spacing w:after="40"/>
        <w:ind w:left="260"/>
      </w:pPr>
      <w:r>
        <w:rPr>
          <w:rFonts w:ascii="Arial" w:cs="Arial" w:eastAsia="Arial" w:hAnsi="Arial"/>
          <w:b/>
          <w:bCs/>
          <w:color w:val="2F6E4F"/>
          <w:sz w:val="20"/>
          <w:szCs w:val="20"/>
        </w:rPr>
        <w:t xml:space="preserve">B.  </w:t>
      </w:r>
      <w:r>
        <w:rPr>
          <w:rFonts w:ascii="Arial" w:cs="Arial" w:eastAsia="Arial" w:hAnsi="Arial"/>
          <w:b/>
          <w:bCs/>
          <w:color w:val="2F6E4F"/>
          <w:sz w:val="20"/>
          <w:szCs w:val="20"/>
        </w:rPr>
        <w:t xml:space="preserve">$1,820</w:t>
      </w:r>
      <w:r>
        <w:rPr>
          <w:rFonts w:ascii="Arial" w:cs="Arial" w:eastAsia="Arial" w:hAnsi="Arial"/>
          <w:b/>
          <w:bCs/>
          <w:color w:val="2F6E4F"/>
          <w:sz w:val="18"/>
          <w:szCs w:val="18"/>
        </w:rPr>
        <w:t xml:space="preserve">   ✓ Correct Answer</w:t>
      </w:r>
    </w:p>
    <w:p>
      <w:pPr>
        <w:spacing w:after="40"/>
        <w:ind w:left="260"/>
      </w:pPr>
      <w:r>
        <w:rPr>
          <w:rFonts w:ascii="Arial" w:cs="Arial" w:eastAsia="Arial" w:hAnsi="Arial"/>
          <w:b/>
          <w:bCs/>
          <w:color w:val="16243E"/>
          <w:sz w:val="20"/>
          <w:szCs w:val="20"/>
        </w:rPr>
        <w:t xml:space="preserve">C.  </w:t>
      </w:r>
      <w:r>
        <w:rPr>
          <w:rFonts w:ascii="Arial" w:cs="Arial" w:eastAsia="Arial" w:hAnsi="Arial"/>
          <w:b w:val="false"/>
          <w:bCs w:val="false"/>
          <w:color w:val="16243E"/>
          <w:sz w:val="20"/>
          <w:szCs w:val="20"/>
        </w:rPr>
        <w:t xml:space="preserve">$1,950</w:t>
      </w:r>
      <w:r>
        <w:rPr>
          <w:rFonts w:ascii="Arial" w:cs="Arial" w:eastAsia="Arial" w:hAnsi="Arial"/>
        </w:rPr>
        <w:t xml:space="preserve"/>
      </w:r>
    </w:p>
    <w:p>
      <w:pPr>
        <w:spacing w:after="40"/>
        <w:ind w:left="260"/>
      </w:pPr>
      <w:r>
        <w:rPr>
          <w:rFonts w:ascii="Arial" w:cs="Arial" w:eastAsia="Arial" w:hAnsi="Arial"/>
          <w:b/>
          <w:bCs/>
          <w:color w:val="16243E"/>
          <w:sz w:val="20"/>
          <w:szCs w:val="20"/>
        </w:rPr>
        <w:t xml:space="preserve">D.  </w:t>
      </w:r>
      <w:r>
        <w:rPr>
          <w:rFonts w:ascii="Arial" w:cs="Arial" w:eastAsia="Arial" w:hAnsi="Arial"/>
          <w:b w:val="false"/>
          <w:bCs w:val="false"/>
          <w:color w:val="16243E"/>
          <w:sz w:val="20"/>
          <w:szCs w:val="20"/>
        </w:rPr>
        <w:t xml:space="preserve">$1,650</w:t>
      </w:r>
      <w:r>
        <w:rPr>
          <w:rFonts w:ascii="Arial" w:cs="Arial" w:eastAsia="Arial" w:hAnsi="Arial"/>
        </w:rPr>
        <w:t xml:space="preserve"/>
      </w:r>
    </w:p>
    <w:p>
      <w:pPr>
        <w:spacing w:after="40" w:before="100"/>
        <w:ind w:left="260"/>
      </w:pPr>
      <w:r>
        <w:rPr>
          <w:rFonts w:ascii="Arial" w:cs="Arial" w:eastAsia="Arial" w:hAnsi="Arial"/>
          <w:b/>
          <w:bCs/>
          <w:color w:val="677081"/>
          <w:sz w:val="18"/>
          <w:szCs w:val="18"/>
        </w:rPr>
        <w:t xml:space="preserve">Why each choice is right or wrong:</w:t>
      </w:r>
    </w:p>
    <w:p>
      <w:pPr>
        <w:spacing w:after="90"/>
        <w:ind w:left="420" w:hanging="160"/>
      </w:pPr>
      <w:r>
        <w:rPr>
          <w:rFonts w:ascii="Arial" w:cs="Arial" w:eastAsia="Arial" w:hAnsi="Arial"/>
          <w:b/>
          <w:bCs/>
          <w:color w:val="B3261E"/>
          <w:sz w:val="19"/>
          <w:szCs w:val="19"/>
        </w:rPr>
        <w:t xml:space="preserve">A — INCORRECT: </w:t>
      </w:r>
      <w:r>
        <w:rPr>
          <w:rFonts w:ascii="Arial" w:cs="Arial" w:eastAsia="Arial" w:hAnsi="Arial"/>
          <w:color w:val="16243E"/>
          <w:sz w:val="19"/>
          <w:szCs w:val="19"/>
        </w:rPr>
        <w:t xml:space="preserve">This figure does not match 28% of the stated $6,500 gross monthly income.</w:t>
      </w:r>
    </w:p>
    <w:p>
      <w:pPr>
        <w:spacing w:after="90"/>
        <w:ind w:left="420" w:hanging="160"/>
      </w:pPr>
      <w:r>
        <w:rPr>
          <w:rFonts w:ascii="Arial" w:cs="Arial" w:eastAsia="Arial" w:hAnsi="Arial"/>
          <w:b/>
          <w:bCs/>
          <w:color w:val="2F6E4F"/>
          <w:sz w:val="19"/>
          <w:szCs w:val="19"/>
        </w:rPr>
        <w:t xml:space="preserve">B — CORRECT: </w:t>
      </w:r>
      <w:r>
        <w:rPr>
          <w:rFonts w:ascii="Arial" w:cs="Arial" w:eastAsia="Arial" w:hAnsi="Arial"/>
          <w:color w:val="16243E"/>
          <w:sz w:val="19"/>
          <w:szCs w:val="19"/>
        </w:rPr>
        <w:t xml:space="preserve">This is correct: maximum PITI = $6,500 × 0.28 = $1,820.</w:t>
      </w:r>
    </w:p>
    <w:p>
      <w:pPr>
        <w:spacing w:after="90"/>
        <w:ind w:left="420" w:hanging="160"/>
      </w:pPr>
      <w:r>
        <w:rPr>
          <w:rFonts w:ascii="Arial" w:cs="Arial" w:eastAsia="Arial" w:hAnsi="Arial"/>
          <w:b/>
          <w:bCs/>
          <w:color w:val="B3261E"/>
          <w:sz w:val="19"/>
          <w:szCs w:val="19"/>
        </w:rPr>
        <w:t xml:space="preserve">C — INCORRECT: </w:t>
      </w:r>
      <w:r>
        <w:rPr>
          <w:rFonts w:ascii="Arial" w:cs="Arial" w:eastAsia="Arial" w:hAnsi="Arial"/>
          <w:color w:val="16243E"/>
          <w:sz w:val="19"/>
          <w:szCs w:val="19"/>
        </w:rPr>
        <w:t xml:space="preserve">This figure uses a higher percentage than the stated 28% qualifying ratio.</w:t>
      </w:r>
    </w:p>
    <w:p>
      <w:pPr>
        <w:spacing w:after="90"/>
        <w:ind w:left="420" w:hanging="160"/>
      </w:pPr>
      <w:r>
        <w:rPr>
          <w:rFonts w:ascii="Arial" w:cs="Arial" w:eastAsia="Arial" w:hAnsi="Arial"/>
          <w:b/>
          <w:bCs/>
          <w:color w:val="B3261E"/>
          <w:sz w:val="19"/>
          <w:szCs w:val="19"/>
        </w:rPr>
        <w:t xml:space="preserve">D — INCORRECT: </w:t>
      </w:r>
      <w:r>
        <w:rPr>
          <w:rFonts w:ascii="Arial" w:cs="Arial" w:eastAsia="Arial" w:hAnsi="Arial"/>
          <w:color w:val="16243E"/>
          <w:sz w:val="19"/>
          <w:szCs w:val="19"/>
        </w:rPr>
        <w:t xml:space="preserve">This figure uses a lower percentage than the stated 28% qualifying ratio.</w:t>
      </w:r>
    </w:p>
    <w:p>
      <w:r>
        <w:br w:type="page"/>
      </w:r>
    </w:p>
    <w:p>
      <w:pPr>
        <w:spacing w:before="2200"/>
        <w:jc w:val="center"/>
      </w:pPr>
      <w:r>
        <w:drawing>
          <wp:inline distT="0" distB="0" distL="0" distR="0">
            <wp:extent cx="209550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95500" cy="1143000"/>
                    </a:xfrm>
                    <a:prstGeom prst="rect">
                      <a:avLst/>
                    </a:prstGeom>
                  </pic:spPr>
                </pic:pic>
              </a:graphicData>
            </a:graphic>
          </wp:inline>
        </w:drawing>
      </w:r>
    </w:p>
    <w:p>
      <w:pPr>
        <w:spacing w:after="200" w:before="500"/>
        <w:jc w:val="center"/>
      </w:pPr>
      <w:r>
        <w:rPr>
          <w:rFonts w:ascii="Arial" w:cs="Arial" w:eastAsia="Arial" w:hAnsi="Arial"/>
          <w:i/>
          <w:iCs/>
          <w:color w:val="16243E"/>
          <w:sz w:val="22"/>
          <w:szCs w:val="22"/>
        </w:rPr>
        <w:t xml:space="preserve">Thank you for studying with us.</w:t>
      </w:r>
    </w:p>
    <w:p>
      <w:pPr>
        <w:spacing w:after="60" w:before="600"/>
        <w:jc w:val="center"/>
      </w:pPr>
      <w:r>
        <w:rPr>
          <w:rFonts w:ascii="Arial" w:cs="Arial" w:eastAsia="Arial" w:hAnsi="Arial"/>
          <w:b/>
          <w:bCs/>
          <w:color w:val="C13A18"/>
          <w:sz w:val="24"/>
          <w:szCs w:val="24"/>
        </w:rPr>
        <w:t xml:space="preserve">www.RERAcademy.com</w:t>
      </w:r>
    </w:p>
    <w:p>
      <w:pPr>
        <w:spacing w:after="400"/>
        <w:jc w:val="center"/>
      </w:pPr>
      <w:r>
        <w:rPr>
          <w:rFonts w:ascii="Arial" w:cs="Arial" w:eastAsia="Arial" w:hAnsi="Arial"/>
          <w:color w:val="677081"/>
          <w:sz w:val="18"/>
          <w:szCs w:val="18"/>
        </w:rPr>
        <w:t xml:space="preserve">Visit us online for more Georgia real estate exam prep resources.</w:t>
      </w:r>
    </w:p>
    <w:p>
      <w:pPr>
        <w:spacing w:before="800"/>
        <w:jc w:val="center"/>
      </w:pPr>
      <w:r>
        <w:rPr>
          <w:rFonts w:ascii="Arial" w:cs="Arial" w:eastAsia="Arial" w:hAnsi="Arial"/>
          <w:color w:val="677081"/>
          <w:sz w:val="16"/>
          <w:szCs w:val="16"/>
        </w:rPr>
        <w:t xml:space="preserve">© 2026 RERA — Real Estate Resources Academy. All rights reserved.</w:t>
      </w:r>
    </w:p>
    <w:sectPr>
      <w:headerReference w:type="default" r:id="rId7"/>
      <w:footerReference w:type="default" r:id="rId8"/>
      <w:pgSz w:w="12240" w:h="15840" w:orient="portrait"/>
      <w:pgMar w:top="1080" w:right="1200" w:bottom="108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77081"/>
        <w:sz w:val="14"/>
        <w:szCs w:val="14"/>
      </w:rPr>
      <w:t xml:space="preserve">Page </w:t>
    </w:r>
    <w:r>
      <w:rPr>
        <w:rFonts w:ascii="Arial" w:cs="Arial" w:eastAsia="Arial" w:hAnsi="Arial"/>
        <w:color w:val="677081"/>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677081"/>
        <w:sz w:val="14"/>
        <w:szCs w:val="14"/>
      </w:rPr>
      <w:t xml:space="preserve">RERA · GA RE Exam Guide — Answer Key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e81691633e300dbce8871b7a7ed0391ac429fd6.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2026-09-01T02:07:50.656Z</dcterms:created>
  <dcterms:modified xsi:type="dcterms:W3CDTF">2026-09-01T02:07:50.656Z</dcterms:modified>
</cp:coreProperties>
</file>

<file path=docProps/custom.xml><?xml version="1.0" encoding="utf-8"?>
<Properties xmlns="http://schemas.openxmlformats.org/officeDocument/2006/custom-properties" xmlns:vt="http://schemas.openxmlformats.org/officeDocument/2006/docPropsVTypes"/>
</file>